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35F8" w14:textId="2CE6B3F5" w:rsidR="00245F8B" w:rsidRDefault="00245F8B" w:rsidP="005F271B">
      <w:pPr>
        <w:pStyle w:val="IntenseQuote"/>
      </w:pPr>
      <w:r>
        <w:rPr>
          <w:noProof/>
        </w:rPr>
        <w:drawing>
          <wp:anchor distT="0" distB="0" distL="114300" distR="114300" simplePos="0" relativeHeight="251658240" behindDoc="0" locked="0" layoutInCell="1" allowOverlap="1" wp14:anchorId="36DD3F95" wp14:editId="5362D01A">
            <wp:simplePos x="0" y="0"/>
            <wp:positionH relativeFrom="margin">
              <wp:posOffset>208915</wp:posOffset>
            </wp:positionH>
            <wp:positionV relativeFrom="margin">
              <wp:posOffset>1270</wp:posOffset>
            </wp:positionV>
            <wp:extent cx="247650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8B903" w14:textId="77777777" w:rsidR="00245F8B" w:rsidRDefault="00245F8B" w:rsidP="005F271B">
      <w:pPr>
        <w:pStyle w:val="IntenseQuote"/>
      </w:pPr>
    </w:p>
    <w:p w14:paraId="246B7A3E" w14:textId="77777777" w:rsidR="00245F8B" w:rsidRDefault="00245F8B" w:rsidP="005F271B">
      <w:pPr>
        <w:pStyle w:val="IntenseQuote"/>
      </w:pPr>
    </w:p>
    <w:p w14:paraId="0C638D95" w14:textId="612D962A" w:rsidR="00521255" w:rsidRDefault="00521255" w:rsidP="005F271B">
      <w:pPr>
        <w:pStyle w:val="IntenseQuote"/>
      </w:pPr>
    </w:p>
    <w:p w14:paraId="623B4B8B" w14:textId="77777777" w:rsidR="00521255" w:rsidRPr="00AA7F69" w:rsidRDefault="00521255" w:rsidP="00521255">
      <w:pPr>
        <w:rPr>
          <w:rFonts w:ascii="Verdana" w:hAnsi="Verdana"/>
          <w:b/>
          <w:i/>
          <w:color w:val="003399"/>
          <w:sz w:val="36"/>
          <w:szCs w:val="36"/>
        </w:rPr>
      </w:pPr>
      <w:r>
        <w:rPr>
          <w:rFonts w:ascii="Verdana" w:hAnsi="Verdana"/>
          <w:b/>
          <w:i/>
          <w:color w:val="003399"/>
          <w:sz w:val="36"/>
          <w:szCs w:val="36"/>
        </w:rPr>
        <w:t xml:space="preserve">                                                PRESS RELEASE</w:t>
      </w:r>
    </w:p>
    <w:p w14:paraId="17CDF91A" w14:textId="77777777" w:rsidR="00521255" w:rsidRDefault="00521255" w:rsidP="00521255">
      <w:pPr>
        <w:rPr>
          <w:u w:val="thick" w:color="003399"/>
        </w:rPr>
      </w:pPr>
      <w:r w:rsidRPr="00C8189B">
        <w:rPr>
          <w:u w:val="thick" w:color="003399"/>
        </w:rPr>
        <w:t>_______________________</w:t>
      </w:r>
      <w:r>
        <w:rPr>
          <w:u w:val="thick" w:color="003399"/>
        </w:rPr>
        <w:t>_______________________________</w:t>
      </w:r>
      <w:r w:rsidRPr="00C8189B">
        <w:rPr>
          <w:u w:val="thick" w:color="003399"/>
        </w:rPr>
        <w:t>_</w:t>
      </w:r>
      <w:r>
        <w:rPr>
          <w:u w:val="thick" w:color="003399"/>
        </w:rPr>
        <w:t>_______________________</w:t>
      </w:r>
    </w:p>
    <w:p w14:paraId="53DA199C" w14:textId="77777777" w:rsidR="00521255" w:rsidRPr="00C8189B" w:rsidRDefault="00521255" w:rsidP="00521255">
      <w:pPr>
        <w:rPr>
          <w:b/>
          <w:sz w:val="10"/>
          <w:szCs w:val="10"/>
        </w:rPr>
      </w:pPr>
    </w:p>
    <w:p w14:paraId="7115543B" w14:textId="77777777" w:rsidR="00C71093" w:rsidRDefault="00521255" w:rsidP="00C71093">
      <w:r w:rsidRPr="00E95FDB">
        <w:t>FOR IMMEDIATE RELEASE:</w:t>
      </w:r>
    </w:p>
    <w:p w14:paraId="5A4D3E1D" w14:textId="77777777" w:rsidR="00C71093" w:rsidRDefault="00C71093" w:rsidP="00C71093">
      <w:pPr>
        <w:jc w:val="center"/>
        <w:rPr>
          <w:b/>
        </w:rPr>
      </w:pPr>
    </w:p>
    <w:p w14:paraId="6054C0EA" w14:textId="77777777" w:rsidR="00C71093" w:rsidRDefault="00C71093" w:rsidP="00C87248">
      <w:pPr>
        <w:jc w:val="center"/>
        <w:rPr>
          <w:b/>
          <w:sz w:val="28"/>
          <w:szCs w:val="28"/>
        </w:rPr>
      </w:pPr>
      <w:r w:rsidRPr="001A4464">
        <w:rPr>
          <w:b/>
          <w:sz w:val="28"/>
          <w:szCs w:val="28"/>
        </w:rPr>
        <w:t xml:space="preserve">Aquesta </w:t>
      </w:r>
      <w:r>
        <w:rPr>
          <w:b/>
          <w:sz w:val="28"/>
          <w:szCs w:val="28"/>
        </w:rPr>
        <w:t>Financial Holdings, Inc</w:t>
      </w:r>
      <w:r w:rsidRPr="001A4464">
        <w:rPr>
          <w:b/>
          <w:sz w:val="28"/>
          <w:szCs w:val="28"/>
        </w:rPr>
        <w:t xml:space="preserve"> </w:t>
      </w:r>
      <w:bookmarkStart w:id="0" w:name="_GoBack"/>
      <w:bookmarkEnd w:id="0"/>
      <w:r w:rsidRPr="001A4464">
        <w:rPr>
          <w:b/>
          <w:sz w:val="28"/>
          <w:szCs w:val="28"/>
        </w:rPr>
        <w:t xml:space="preserve">Announces </w:t>
      </w:r>
      <w:r w:rsidR="008B670B">
        <w:rPr>
          <w:b/>
          <w:sz w:val="28"/>
          <w:szCs w:val="28"/>
        </w:rPr>
        <w:t>Record Operating Income and Loan Growth f</w:t>
      </w:r>
      <w:r w:rsidR="007C360A">
        <w:rPr>
          <w:b/>
          <w:sz w:val="28"/>
          <w:szCs w:val="28"/>
        </w:rPr>
        <w:t>or</w:t>
      </w:r>
      <w:r w:rsidRPr="001A4464">
        <w:rPr>
          <w:b/>
          <w:sz w:val="28"/>
          <w:szCs w:val="28"/>
        </w:rPr>
        <w:t xml:space="preserve"> </w:t>
      </w:r>
      <w:r>
        <w:rPr>
          <w:b/>
          <w:sz w:val="28"/>
          <w:szCs w:val="28"/>
        </w:rPr>
        <w:t>t</w:t>
      </w:r>
      <w:r w:rsidRPr="001A4464">
        <w:rPr>
          <w:b/>
          <w:sz w:val="28"/>
          <w:szCs w:val="28"/>
        </w:rPr>
        <w:t xml:space="preserve">he </w:t>
      </w:r>
      <w:r w:rsidR="004B3A87">
        <w:rPr>
          <w:b/>
          <w:sz w:val="28"/>
          <w:szCs w:val="28"/>
        </w:rPr>
        <w:t>Fourth</w:t>
      </w:r>
      <w:r w:rsidR="00C87248">
        <w:rPr>
          <w:b/>
          <w:sz w:val="28"/>
          <w:szCs w:val="28"/>
        </w:rPr>
        <w:t xml:space="preserve"> Quarter of 201</w:t>
      </w:r>
      <w:r w:rsidR="00B946B5">
        <w:rPr>
          <w:b/>
          <w:sz w:val="28"/>
          <w:szCs w:val="28"/>
        </w:rPr>
        <w:t>8</w:t>
      </w:r>
    </w:p>
    <w:p w14:paraId="2E79BDCE" w14:textId="77777777" w:rsidR="00D242BA" w:rsidRDefault="00D242BA" w:rsidP="00C87248">
      <w:pPr>
        <w:jc w:val="center"/>
      </w:pPr>
    </w:p>
    <w:p w14:paraId="0F7357CA" w14:textId="77777777" w:rsidR="008A6EF5" w:rsidRDefault="008A6EF5" w:rsidP="00C87248">
      <w:pPr>
        <w:jc w:val="center"/>
      </w:pPr>
    </w:p>
    <w:p w14:paraId="56FB8C97" w14:textId="1D79B6A1" w:rsidR="007C215F" w:rsidRPr="002D23CC" w:rsidRDefault="00726251" w:rsidP="00C87248">
      <w:pPr>
        <w:rPr>
          <w:sz w:val="22"/>
          <w:szCs w:val="22"/>
        </w:rPr>
      </w:pPr>
      <w:r w:rsidRPr="002D23CC">
        <w:rPr>
          <w:sz w:val="22"/>
          <w:szCs w:val="22"/>
        </w:rPr>
        <w:t>CORNEL</w:t>
      </w:r>
      <w:r w:rsidR="005D5563" w:rsidRPr="002D23CC">
        <w:rPr>
          <w:sz w:val="22"/>
          <w:szCs w:val="22"/>
        </w:rPr>
        <w:t xml:space="preserve">IUS, NC – </w:t>
      </w:r>
      <w:r w:rsidR="002F5192" w:rsidRPr="002D23CC">
        <w:rPr>
          <w:sz w:val="22"/>
          <w:szCs w:val="22"/>
        </w:rPr>
        <w:t xml:space="preserve">January </w:t>
      </w:r>
      <w:r w:rsidR="008B670B">
        <w:rPr>
          <w:sz w:val="22"/>
          <w:szCs w:val="22"/>
        </w:rPr>
        <w:t>16</w:t>
      </w:r>
      <w:r w:rsidR="004B3A87" w:rsidRPr="002D23CC">
        <w:rPr>
          <w:sz w:val="22"/>
          <w:szCs w:val="22"/>
        </w:rPr>
        <w:t>, 201</w:t>
      </w:r>
      <w:r w:rsidR="00B946B5">
        <w:rPr>
          <w:sz w:val="22"/>
          <w:szCs w:val="22"/>
        </w:rPr>
        <w:t>9</w:t>
      </w:r>
      <w:r w:rsidR="00C71093" w:rsidRPr="002D23CC">
        <w:rPr>
          <w:sz w:val="22"/>
          <w:szCs w:val="22"/>
        </w:rPr>
        <w:t xml:space="preserve"> -- Aques</w:t>
      </w:r>
      <w:r w:rsidRPr="002D23CC">
        <w:rPr>
          <w:sz w:val="22"/>
          <w:szCs w:val="22"/>
        </w:rPr>
        <w:t>ta Financial Holdings, Inc and s</w:t>
      </w:r>
      <w:r w:rsidR="00C71093" w:rsidRPr="002D23CC">
        <w:rPr>
          <w:sz w:val="22"/>
          <w:szCs w:val="22"/>
        </w:rPr>
        <w:t>ubsidiaries</w:t>
      </w:r>
      <w:r w:rsidR="00132549" w:rsidRPr="002D23CC">
        <w:rPr>
          <w:sz w:val="22"/>
          <w:szCs w:val="22"/>
        </w:rPr>
        <w:t xml:space="preserve"> (“Aquesta”) (OTC Market symbol AQFH)</w:t>
      </w:r>
      <w:r w:rsidR="00C71093" w:rsidRPr="002D23CC">
        <w:rPr>
          <w:sz w:val="22"/>
          <w:szCs w:val="22"/>
        </w:rPr>
        <w:t xml:space="preserve"> – including its primary subsidiary Aquesta Bank announced today </w:t>
      </w:r>
      <w:r w:rsidR="008B670B">
        <w:rPr>
          <w:sz w:val="22"/>
          <w:szCs w:val="22"/>
        </w:rPr>
        <w:t>record</w:t>
      </w:r>
      <w:r w:rsidR="004B3A87" w:rsidRPr="002D23CC">
        <w:rPr>
          <w:sz w:val="22"/>
          <w:szCs w:val="22"/>
        </w:rPr>
        <w:t xml:space="preserve"> earnings and loan growth for the fourth</w:t>
      </w:r>
      <w:r w:rsidR="00C87248" w:rsidRPr="002D23CC">
        <w:rPr>
          <w:sz w:val="22"/>
          <w:szCs w:val="22"/>
        </w:rPr>
        <w:t xml:space="preserve"> quarter of 201</w:t>
      </w:r>
      <w:r w:rsidR="00B946B5">
        <w:rPr>
          <w:sz w:val="22"/>
          <w:szCs w:val="22"/>
        </w:rPr>
        <w:t>8</w:t>
      </w:r>
      <w:r w:rsidR="00C71093" w:rsidRPr="002D23CC">
        <w:rPr>
          <w:sz w:val="22"/>
          <w:szCs w:val="22"/>
        </w:rPr>
        <w:t xml:space="preserve"> (</w:t>
      </w:r>
      <w:proofErr w:type="gramStart"/>
      <w:r w:rsidR="00C71093" w:rsidRPr="002D23CC">
        <w:rPr>
          <w:sz w:val="22"/>
          <w:szCs w:val="22"/>
        </w:rPr>
        <w:t>three month</w:t>
      </w:r>
      <w:proofErr w:type="gramEnd"/>
      <w:r w:rsidR="00C71093" w:rsidRPr="002D23CC">
        <w:rPr>
          <w:sz w:val="22"/>
          <w:szCs w:val="22"/>
        </w:rPr>
        <w:t xml:space="preserve"> period ending </w:t>
      </w:r>
      <w:r w:rsidR="004B3A87" w:rsidRPr="002D23CC">
        <w:rPr>
          <w:sz w:val="22"/>
          <w:szCs w:val="22"/>
        </w:rPr>
        <w:t>December 31</w:t>
      </w:r>
      <w:r w:rsidR="00C87248" w:rsidRPr="002D23CC">
        <w:rPr>
          <w:sz w:val="22"/>
          <w:szCs w:val="22"/>
        </w:rPr>
        <w:t>, 201</w:t>
      </w:r>
      <w:r w:rsidR="00B946B5">
        <w:rPr>
          <w:sz w:val="22"/>
          <w:szCs w:val="22"/>
        </w:rPr>
        <w:t>8</w:t>
      </w:r>
      <w:r w:rsidR="00C71093" w:rsidRPr="002D23CC">
        <w:rPr>
          <w:sz w:val="22"/>
          <w:szCs w:val="22"/>
        </w:rPr>
        <w:t xml:space="preserve">).  For the </w:t>
      </w:r>
      <w:r w:rsidR="004B3A87" w:rsidRPr="002D23CC">
        <w:rPr>
          <w:sz w:val="22"/>
          <w:szCs w:val="22"/>
        </w:rPr>
        <w:t>fourth</w:t>
      </w:r>
      <w:r w:rsidR="00C71093" w:rsidRPr="002D23CC">
        <w:rPr>
          <w:sz w:val="22"/>
          <w:szCs w:val="22"/>
        </w:rPr>
        <w:t xml:space="preserve"> quarter</w:t>
      </w:r>
      <w:r w:rsidR="001840CE" w:rsidRPr="002D23CC">
        <w:rPr>
          <w:sz w:val="22"/>
          <w:szCs w:val="22"/>
        </w:rPr>
        <w:t xml:space="preserve"> of 201</w:t>
      </w:r>
      <w:r w:rsidR="00B946B5">
        <w:rPr>
          <w:sz w:val="22"/>
          <w:szCs w:val="22"/>
        </w:rPr>
        <w:t>8</w:t>
      </w:r>
      <w:r w:rsidR="00C71093" w:rsidRPr="002D23CC">
        <w:rPr>
          <w:sz w:val="22"/>
          <w:szCs w:val="22"/>
        </w:rPr>
        <w:t>, Aquesta had unaudited net income of $</w:t>
      </w:r>
      <w:r w:rsidR="002E1926">
        <w:rPr>
          <w:sz w:val="22"/>
          <w:szCs w:val="22"/>
        </w:rPr>
        <w:t>942,000</w:t>
      </w:r>
      <w:r w:rsidR="00C66A82" w:rsidRPr="002D23CC">
        <w:rPr>
          <w:sz w:val="22"/>
          <w:szCs w:val="22"/>
        </w:rPr>
        <w:t xml:space="preserve"> (</w:t>
      </w:r>
      <w:r w:rsidR="002E1926">
        <w:rPr>
          <w:sz w:val="22"/>
          <w:szCs w:val="22"/>
        </w:rPr>
        <w:t>23</w:t>
      </w:r>
      <w:r w:rsidR="003A2C5E" w:rsidRPr="002D23CC">
        <w:rPr>
          <w:sz w:val="22"/>
          <w:szCs w:val="22"/>
        </w:rPr>
        <w:t xml:space="preserve"> </w:t>
      </w:r>
      <w:r w:rsidR="00C71093" w:rsidRPr="002D23CC">
        <w:rPr>
          <w:sz w:val="22"/>
          <w:szCs w:val="22"/>
        </w:rPr>
        <w:t>cents per share) compare</w:t>
      </w:r>
      <w:r w:rsidR="00A00E62" w:rsidRPr="002D23CC">
        <w:rPr>
          <w:sz w:val="22"/>
          <w:szCs w:val="22"/>
        </w:rPr>
        <w:t xml:space="preserve">d to </w:t>
      </w:r>
      <w:r w:rsidR="004B3A87" w:rsidRPr="002D23CC">
        <w:rPr>
          <w:sz w:val="22"/>
          <w:szCs w:val="22"/>
        </w:rPr>
        <w:t>fourth</w:t>
      </w:r>
      <w:r w:rsidR="0056312B" w:rsidRPr="002D23CC">
        <w:rPr>
          <w:sz w:val="22"/>
          <w:szCs w:val="22"/>
        </w:rPr>
        <w:t xml:space="preserve"> quarter</w:t>
      </w:r>
      <w:r w:rsidR="0045091D" w:rsidRPr="002D23CC">
        <w:rPr>
          <w:sz w:val="22"/>
          <w:szCs w:val="22"/>
        </w:rPr>
        <w:t xml:space="preserve"> of</w:t>
      </w:r>
      <w:r w:rsidR="0056312B" w:rsidRPr="002D23CC">
        <w:rPr>
          <w:sz w:val="22"/>
          <w:szCs w:val="22"/>
        </w:rPr>
        <w:t xml:space="preserve"> 201</w:t>
      </w:r>
      <w:r w:rsidR="00B946B5">
        <w:rPr>
          <w:sz w:val="22"/>
          <w:szCs w:val="22"/>
        </w:rPr>
        <w:t>7</w:t>
      </w:r>
      <w:r w:rsidR="00A00E62" w:rsidRPr="002D23CC">
        <w:rPr>
          <w:sz w:val="22"/>
          <w:szCs w:val="22"/>
        </w:rPr>
        <w:t xml:space="preserve"> net income of </w:t>
      </w:r>
      <w:r w:rsidR="0045091D" w:rsidRPr="002D23CC">
        <w:rPr>
          <w:sz w:val="22"/>
          <w:szCs w:val="22"/>
        </w:rPr>
        <w:t>$</w:t>
      </w:r>
      <w:r w:rsidR="00744A75">
        <w:rPr>
          <w:sz w:val="22"/>
          <w:szCs w:val="22"/>
        </w:rPr>
        <w:t>204</w:t>
      </w:r>
      <w:r w:rsidR="004B3A87" w:rsidRPr="002D23CC">
        <w:rPr>
          <w:sz w:val="22"/>
          <w:szCs w:val="22"/>
        </w:rPr>
        <w:t>,000</w:t>
      </w:r>
      <w:r w:rsidR="00C71093" w:rsidRPr="002D23CC">
        <w:rPr>
          <w:sz w:val="22"/>
          <w:szCs w:val="22"/>
        </w:rPr>
        <w:t xml:space="preserve"> </w:t>
      </w:r>
      <w:r w:rsidR="004B3A87" w:rsidRPr="002D23CC">
        <w:rPr>
          <w:sz w:val="22"/>
          <w:szCs w:val="22"/>
        </w:rPr>
        <w:t>(</w:t>
      </w:r>
      <w:r w:rsidR="00BA1D12">
        <w:rPr>
          <w:sz w:val="22"/>
          <w:szCs w:val="22"/>
        </w:rPr>
        <w:t>5</w:t>
      </w:r>
      <w:r w:rsidR="00C71093" w:rsidRPr="002D23CC">
        <w:rPr>
          <w:sz w:val="22"/>
          <w:szCs w:val="22"/>
        </w:rPr>
        <w:t xml:space="preserve"> cents per share).  </w:t>
      </w:r>
      <w:r w:rsidR="004B3A87" w:rsidRPr="002D23CC">
        <w:rPr>
          <w:sz w:val="22"/>
          <w:szCs w:val="22"/>
        </w:rPr>
        <w:t>For the twelve months ended December 31, 201</w:t>
      </w:r>
      <w:r w:rsidR="00744A75">
        <w:rPr>
          <w:sz w:val="22"/>
          <w:szCs w:val="22"/>
        </w:rPr>
        <w:t>8</w:t>
      </w:r>
      <w:r w:rsidR="004B3A87" w:rsidRPr="002D23CC">
        <w:rPr>
          <w:sz w:val="22"/>
          <w:szCs w:val="22"/>
        </w:rPr>
        <w:t xml:space="preserve"> net income was $</w:t>
      </w:r>
      <w:r w:rsidR="00F65642">
        <w:rPr>
          <w:sz w:val="22"/>
          <w:szCs w:val="22"/>
        </w:rPr>
        <w:t>4.2</w:t>
      </w:r>
      <w:r w:rsidR="003A2C5E" w:rsidRPr="002D23CC">
        <w:rPr>
          <w:sz w:val="22"/>
          <w:szCs w:val="22"/>
        </w:rPr>
        <w:t xml:space="preserve"> million (</w:t>
      </w:r>
      <w:r w:rsidR="00744A75">
        <w:rPr>
          <w:sz w:val="22"/>
          <w:szCs w:val="22"/>
        </w:rPr>
        <w:t>1.0</w:t>
      </w:r>
      <w:r w:rsidR="007103A9">
        <w:rPr>
          <w:sz w:val="22"/>
          <w:szCs w:val="22"/>
        </w:rPr>
        <w:t>6</w:t>
      </w:r>
      <w:r w:rsidR="003A2C5E" w:rsidRPr="002D23CC">
        <w:rPr>
          <w:sz w:val="22"/>
          <w:szCs w:val="22"/>
        </w:rPr>
        <w:t xml:space="preserve"> </w:t>
      </w:r>
      <w:r w:rsidR="004B3A87" w:rsidRPr="002D23CC">
        <w:rPr>
          <w:sz w:val="22"/>
          <w:szCs w:val="22"/>
        </w:rPr>
        <w:t>cents per share) compared to the twelve months ended Decem</w:t>
      </w:r>
      <w:r w:rsidR="007C215F" w:rsidRPr="002D23CC">
        <w:rPr>
          <w:sz w:val="22"/>
          <w:szCs w:val="22"/>
        </w:rPr>
        <w:t>ber 31, 201</w:t>
      </w:r>
      <w:r w:rsidR="00744A75">
        <w:rPr>
          <w:sz w:val="22"/>
          <w:szCs w:val="22"/>
        </w:rPr>
        <w:t>7</w:t>
      </w:r>
      <w:r w:rsidR="007C215F" w:rsidRPr="002D23CC">
        <w:rPr>
          <w:sz w:val="22"/>
          <w:szCs w:val="22"/>
        </w:rPr>
        <w:t xml:space="preserve"> of $</w:t>
      </w:r>
      <w:r w:rsidR="00744A75">
        <w:rPr>
          <w:sz w:val="22"/>
          <w:szCs w:val="22"/>
        </w:rPr>
        <w:t>1.9</w:t>
      </w:r>
      <w:r w:rsidR="000155C0">
        <w:rPr>
          <w:sz w:val="22"/>
          <w:szCs w:val="22"/>
        </w:rPr>
        <w:t xml:space="preserve"> million (48</w:t>
      </w:r>
      <w:r w:rsidR="004B3A87" w:rsidRPr="002D23CC">
        <w:rPr>
          <w:sz w:val="22"/>
          <w:szCs w:val="22"/>
        </w:rPr>
        <w:t xml:space="preserve"> cents per share).</w:t>
      </w:r>
      <w:r w:rsidR="00916159" w:rsidRPr="002D23CC">
        <w:rPr>
          <w:sz w:val="22"/>
          <w:szCs w:val="22"/>
        </w:rPr>
        <w:t xml:space="preserve">  </w:t>
      </w:r>
    </w:p>
    <w:p w14:paraId="0B4D5D24" w14:textId="77777777" w:rsidR="007C215F" w:rsidRPr="002D23CC" w:rsidRDefault="007C215F" w:rsidP="00C87248">
      <w:pPr>
        <w:rPr>
          <w:sz w:val="22"/>
          <w:szCs w:val="22"/>
        </w:rPr>
      </w:pPr>
    </w:p>
    <w:p w14:paraId="31FAF137" w14:textId="0A4CE661" w:rsidR="00C25F06" w:rsidRPr="002D23CC" w:rsidRDefault="00916159" w:rsidP="00C87248">
      <w:pPr>
        <w:rPr>
          <w:sz w:val="22"/>
          <w:szCs w:val="22"/>
        </w:rPr>
      </w:pPr>
      <w:r w:rsidRPr="002D23CC">
        <w:rPr>
          <w:sz w:val="22"/>
          <w:szCs w:val="22"/>
        </w:rPr>
        <w:t xml:space="preserve">The </w:t>
      </w:r>
      <w:r w:rsidR="00744A75">
        <w:rPr>
          <w:sz w:val="22"/>
          <w:szCs w:val="22"/>
        </w:rPr>
        <w:t>increase</w:t>
      </w:r>
      <w:r w:rsidR="00FC5333" w:rsidRPr="002D23CC">
        <w:rPr>
          <w:sz w:val="22"/>
          <w:szCs w:val="22"/>
        </w:rPr>
        <w:t xml:space="preserve"> in Aquesta’s 201</w:t>
      </w:r>
      <w:r w:rsidR="00744A75">
        <w:rPr>
          <w:sz w:val="22"/>
          <w:szCs w:val="22"/>
        </w:rPr>
        <w:t>8</w:t>
      </w:r>
      <w:r w:rsidR="00FC5333" w:rsidRPr="002D23CC">
        <w:rPr>
          <w:sz w:val="22"/>
          <w:szCs w:val="22"/>
        </w:rPr>
        <w:t xml:space="preserve"> net income</w:t>
      </w:r>
      <w:r w:rsidRPr="002D23CC">
        <w:rPr>
          <w:sz w:val="22"/>
          <w:szCs w:val="22"/>
        </w:rPr>
        <w:t xml:space="preserve"> was </w:t>
      </w:r>
      <w:r w:rsidR="008B670B">
        <w:rPr>
          <w:sz w:val="22"/>
          <w:szCs w:val="22"/>
        </w:rPr>
        <w:t xml:space="preserve">primarily </w:t>
      </w:r>
      <w:r w:rsidRPr="002D23CC">
        <w:rPr>
          <w:sz w:val="22"/>
          <w:szCs w:val="22"/>
        </w:rPr>
        <w:t xml:space="preserve">due to </w:t>
      </w:r>
      <w:r w:rsidR="00744A75">
        <w:rPr>
          <w:sz w:val="22"/>
          <w:szCs w:val="22"/>
        </w:rPr>
        <w:t xml:space="preserve">the sale of Aquesta Insurance Services, Inc. during the </w:t>
      </w:r>
      <w:r w:rsidR="00A80EE1">
        <w:rPr>
          <w:sz w:val="22"/>
          <w:szCs w:val="22"/>
        </w:rPr>
        <w:t xml:space="preserve">second </w:t>
      </w:r>
      <w:r w:rsidR="00744A75">
        <w:rPr>
          <w:sz w:val="22"/>
          <w:szCs w:val="22"/>
        </w:rPr>
        <w:t>quarter</w:t>
      </w:r>
      <w:r w:rsidR="00A80EE1">
        <w:rPr>
          <w:sz w:val="22"/>
          <w:szCs w:val="22"/>
        </w:rPr>
        <w:t xml:space="preserve"> 2018</w:t>
      </w:r>
      <w:r w:rsidR="00744A75">
        <w:rPr>
          <w:sz w:val="22"/>
          <w:szCs w:val="22"/>
        </w:rPr>
        <w:t xml:space="preserve">.  Net income </w:t>
      </w:r>
      <w:r w:rsidR="008B670B">
        <w:rPr>
          <w:sz w:val="22"/>
          <w:szCs w:val="22"/>
        </w:rPr>
        <w:t xml:space="preserve">for the year </w:t>
      </w:r>
      <w:r w:rsidR="00744A75">
        <w:rPr>
          <w:sz w:val="22"/>
          <w:szCs w:val="22"/>
        </w:rPr>
        <w:t xml:space="preserve">includes </w:t>
      </w:r>
      <w:r w:rsidR="00F82643">
        <w:rPr>
          <w:sz w:val="22"/>
          <w:szCs w:val="22"/>
        </w:rPr>
        <w:t>a</w:t>
      </w:r>
      <w:r w:rsidR="00744A75">
        <w:rPr>
          <w:sz w:val="22"/>
          <w:szCs w:val="22"/>
        </w:rPr>
        <w:t xml:space="preserve"> one-time </w:t>
      </w:r>
      <w:proofErr w:type="gramStart"/>
      <w:r w:rsidR="00744A75">
        <w:rPr>
          <w:sz w:val="22"/>
          <w:szCs w:val="22"/>
        </w:rPr>
        <w:t>afte</w:t>
      </w:r>
      <w:r w:rsidR="00BA1D12">
        <w:rPr>
          <w:sz w:val="22"/>
          <w:szCs w:val="22"/>
        </w:rPr>
        <w:t>r tax</w:t>
      </w:r>
      <w:proofErr w:type="gramEnd"/>
      <w:r w:rsidR="00BA1D12">
        <w:rPr>
          <w:sz w:val="22"/>
          <w:szCs w:val="22"/>
        </w:rPr>
        <w:t xml:space="preserve"> gain of $1.3 million or 32</w:t>
      </w:r>
      <w:r w:rsidR="00744A75">
        <w:rPr>
          <w:sz w:val="22"/>
          <w:szCs w:val="22"/>
        </w:rPr>
        <w:t xml:space="preserve"> cents per share</w:t>
      </w:r>
      <w:r w:rsidR="00F82643">
        <w:rPr>
          <w:sz w:val="22"/>
          <w:szCs w:val="22"/>
        </w:rPr>
        <w:t xml:space="preserve">.  Normalized earnings per share for the twelve months ending December 31, </w:t>
      </w:r>
      <w:r w:rsidR="008B670B">
        <w:rPr>
          <w:sz w:val="22"/>
          <w:szCs w:val="22"/>
        </w:rPr>
        <w:t>2018 exclusive of this item was</w:t>
      </w:r>
      <w:r w:rsidR="00E24D8D">
        <w:rPr>
          <w:sz w:val="22"/>
          <w:szCs w:val="22"/>
        </w:rPr>
        <w:t xml:space="preserve"> $3.0 million or 74</w:t>
      </w:r>
      <w:r w:rsidR="00F82643">
        <w:rPr>
          <w:sz w:val="22"/>
          <w:szCs w:val="22"/>
        </w:rPr>
        <w:t xml:space="preserve"> cents per share</w:t>
      </w:r>
      <w:r w:rsidR="008B670B">
        <w:rPr>
          <w:sz w:val="22"/>
          <w:szCs w:val="22"/>
        </w:rPr>
        <w:t xml:space="preserve"> which also set a </w:t>
      </w:r>
      <w:r w:rsidR="0085318C">
        <w:rPr>
          <w:sz w:val="22"/>
          <w:szCs w:val="22"/>
        </w:rPr>
        <w:t>r</w:t>
      </w:r>
      <w:r w:rsidR="008B670B">
        <w:rPr>
          <w:sz w:val="22"/>
          <w:szCs w:val="22"/>
        </w:rPr>
        <w:t>ecord for Aquesta</w:t>
      </w:r>
      <w:r w:rsidR="00F82643">
        <w:rPr>
          <w:sz w:val="22"/>
          <w:szCs w:val="22"/>
        </w:rPr>
        <w:t xml:space="preserve">. </w:t>
      </w:r>
      <w:r w:rsidR="002F5192" w:rsidRPr="002D23CC">
        <w:rPr>
          <w:sz w:val="22"/>
          <w:szCs w:val="22"/>
        </w:rPr>
        <w:t xml:space="preserve">  N</w:t>
      </w:r>
      <w:r w:rsidR="0012683B">
        <w:rPr>
          <w:sz w:val="22"/>
          <w:szCs w:val="22"/>
        </w:rPr>
        <w:t>et i</w:t>
      </w:r>
      <w:r w:rsidR="00532957" w:rsidRPr="002D23CC">
        <w:rPr>
          <w:sz w:val="22"/>
          <w:szCs w:val="22"/>
        </w:rPr>
        <w:t>ncome for the twelve months ended December 31, 2017 was $</w:t>
      </w:r>
      <w:r w:rsidR="00F82643">
        <w:rPr>
          <w:sz w:val="22"/>
          <w:szCs w:val="22"/>
        </w:rPr>
        <w:t>1.9</w:t>
      </w:r>
      <w:r w:rsidR="00532957" w:rsidRPr="002D23CC">
        <w:rPr>
          <w:sz w:val="22"/>
          <w:szCs w:val="22"/>
        </w:rPr>
        <w:t xml:space="preserve"> million</w:t>
      </w:r>
      <w:r w:rsidR="00F82643">
        <w:rPr>
          <w:sz w:val="22"/>
          <w:szCs w:val="22"/>
        </w:rPr>
        <w:t xml:space="preserve"> or </w:t>
      </w:r>
      <w:r w:rsidR="0054059E">
        <w:rPr>
          <w:sz w:val="22"/>
          <w:szCs w:val="22"/>
        </w:rPr>
        <w:t>48</w:t>
      </w:r>
      <w:r w:rsidR="00F82643">
        <w:rPr>
          <w:sz w:val="22"/>
          <w:szCs w:val="22"/>
        </w:rPr>
        <w:t xml:space="preserve"> cents per share</w:t>
      </w:r>
      <w:r w:rsidR="00F47477" w:rsidRPr="002D23CC">
        <w:rPr>
          <w:sz w:val="22"/>
          <w:szCs w:val="22"/>
        </w:rPr>
        <w:t xml:space="preserve">.  </w:t>
      </w:r>
    </w:p>
    <w:p w14:paraId="03049B3C" w14:textId="77777777" w:rsidR="00C25F06" w:rsidRPr="002D23CC" w:rsidRDefault="00C25F06" w:rsidP="00C87248">
      <w:pPr>
        <w:rPr>
          <w:sz w:val="22"/>
          <w:szCs w:val="22"/>
        </w:rPr>
      </w:pPr>
    </w:p>
    <w:p w14:paraId="62C3EE83" w14:textId="2E21B482" w:rsidR="00757953" w:rsidRPr="002D23CC" w:rsidRDefault="001C3A45" w:rsidP="00757953">
      <w:pPr>
        <w:rPr>
          <w:sz w:val="22"/>
          <w:szCs w:val="22"/>
        </w:rPr>
      </w:pPr>
      <w:r w:rsidRPr="00A80EE1">
        <w:rPr>
          <w:sz w:val="22"/>
          <w:szCs w:val="22"/>
        </w:rPr>
        <w:t xml:space="preserve">Jim Engel, CEO </w:t>
      </w:r>
      <w:r w:rsidR="00757953" w:rsidRPr="00A80EE1">
        <w:rPr>
          <w:sz w:val="22"/>
          <w:szCs w:val="22"/>
        </w:rPr>
        <w:t xml:space="preserve">&amp; President of Aquesta said, </w:t>
      </w:r>
      <w:r w:rsidR="007C215F" w:rsidRPr="00A80EE1">
        <w:rPr>
          <w:sz w:val="22"/>
          <w:szCs w:val="22"/>
        </w:rPr>
        <w:t>“I am pleased</w:t>
      </w:r>
      <w:r w:rsidR="00757953" w:rsidRPr="00A80EE1">
        <w:rPr>
          <w:sz w:val="22"/>
          <w:szCs w:val="22"/>
        </w:rPr>
        <w:t xml:space="preserve"> to announce continued excellent earnings </w:t>
      </w:r>
      <w:r w:rsidR="00646A0B">
        <w:rPr>
          <w:sz w:val="22"/>
          <w:szCs w:val="22"/>
        </w:rPr>
        <w:t xml:space="preserve">combined with excellent growth for the final quarter </w:t>
      </w:r>
      <w:r w:rsidR="008B670B">
        <w:rPr>
          <w:sz w:val="22"/>
          <w:szCs w:val="22"/>
        </w:rPr>
        <w:t xml:space="preserve">capping </w:t>
      </w:r>
      <w:r w:rsidR="00646A0B">
        <w:rPr>
          <w:sz w:val="22"/>
          <w:szCs w:val="22"/>
        </w:rPr>
        <w:t>an outstanding year.</w:t>
      </w:r>
      <w:r w:rsidR="00757953" w:rsidRPr="00A80EE1">
        <w:rPr>
          <w:sz w:val="22"/>
          <w:szCs w:val="22"/>
        </w:rPr>
        <w:t xml:space="preserve">  Our loan growth</w:t>
      </w:r>
      <w:r w:rsidR="00646A0B">
        <w:rPr>
          <w:sz w:val="22"/>
          <w:szCs w:val="22"/>
        </w:rPr>
        <w:t xml:space="preserve"> and deposit</w:t>
      </w:r>
      <w:r w:rsidR="0012683B">
        <w:rPr>
          <w:sz w:val="22"/>
          <w:szCs w:val="22"/>
        </w:rPr>
        <w:t>s</w:t>
      </w:r>
      <w:r w:rsidR="00646A0B">
        <w:rPr>
          <w:sz w:val="22"/>
          <w:szCs w:val="22"/>
        </w:rPr>
        <w:t xml:space="preserve"> </w:t>
      </w:r>
      <w:r w:rsidR="0012683B">
        <w:rPr>
          <w:sz w:val="22"/>
          <w:szCs w:val="22"/>
        </w:rPr>
        <w:t>for the year reflect</w:t>
      </w:r>
      <w:r w:rsidR="00757953" w:rsidRPr="00A80EE1">
        <w:rPr>
          <w:sz w:val="22"/>
          <w:szCs w:val="22"/>
        </w:rPr>
        <w:t xml:space="preserve"> positively on our people and our strategy.</w:t>
      </w:r>
      <w:r w:rsidR="008B670B">
        <w:rPr>
          <w:sz w:val="22"/>
          <w:szCs w:val="22"/>
        </w:rPr>
        <w:t xml:space="preserve"> Core deposit growth is also enviable as compared to peer groups.”</w:t>
      </w:r>
    </w:p>
    <w:p w14:paraId="11A20DC2" w14:textId="77777777" w:rsidR="00757953" w:rsidRPr="002D23CC" w:rsidRDefault="00757953" w:rsidP="00757953">
      <w:pPr>
        <w:rPr>
          <w:sz w:val="22"/>
          <w:szCs w:val="22"/>
        </w:rPr>
      </w:pPr>
    </w:p>
    <w:p w14:paraId="10F680C1" w14:textId="77777777" w:rsidR="00AC40DA" w:rsidRPr="002D23CC" w:rsidRDefault="00AC40DA" w:rsidP="00AC40DA">
      <w:pPr>
        <w:rPr>
          <w:b/>
          <w:sz w:val="22"/>
          <w:szCs w:val="22"/>
        </w:rPr>
      </w:pPr>
      <w:r w:rsidRPr="002D23CC">
        <w:rPr>
          <w:b/>
          <w:sz w:val="22"/>
          <w:szCs w:val="22"/>
        </w:rPr>
        <w:t>Key Highlights</w:t>
      </w:r>
    </w:p>
    <w:p w14:paraId="5BB62535" w14:textId="77777777" w:rsidR="003A7E46" w:rsidRPr="00A80EE1" w:rsidRDefault="00133536" w:rsidP="00F82643">
      <w:pPr>
        <w:pStyle w:val="ListParagraph"/>
        <w:numPr>
          <w:ilvl w:val="0"/>
          <w:numId w:val="4"/>
        </w:numPr>
        <w:rPr>
          <w:rFonts w:ascii="Times New Roman" w:hAnsi="Times New Roman"/>
        </w:rPr>
      </w:pPr>
      <w:r w:rsidRPr="00A80EE1">
        <w:rPr>
          <w:rFonts w:ascii="Times New Roman" w:eastAsia="Times New Roman" w:hAnsi="Times New Roman"/>
        </w:rPr>
        <w:t>L</w:t>
      </w:r>
      <w:r w:rsidR="00E77195" w:rsidRPr="00A80EE1">
        <w:rPr>
          <w:rFonts w:ascii="Times New Roman" w:eastAsia="Times New Roman" w:hAnsi="Times New Roman"/>
        </w:rPr>
        <w:t>oan growth</w:t>
      </w:r>
      <w:r w:rsidR="00134717" w:rsidRPr="00A80EE1">
        <w:rPr>
          <w:rFonts w:ascii="Times New Roman" w:eastAsia="Times New Roman" w:hAnsi="Times New Roman"/>
        </w:rPr>
        <w:t xml:space="preserve"> </w:t>
      </w:r>
      <w:r w:rsidR="00FF7747" w:rsidRPr="00A80EE1">
        <w:rPr>
          <w:rFonts w:ascii="Times New Roman" w:eastAsia="Times New Roman" w:hAnsi="Times New Roman"/>
        </w:rPr>
        <w:t>of $</w:t>
      </w:r>
      <w:r w:rsidR="00F82643" w:rsidRPr="00A80EE1">
        <w:rPr>
          <w:rFonts w:ascii="Times New Roman" w:eastAsia="Times New Roman" w:hAnsi="Times New Roman"/>
        </w:rPr>
        <w:t>63.7</w:t>
      </w:r>
      <w:r w:rsidR="00FF7747" w:rsidRPr="00A80EE1">
        <w:rPr>
          <w:rFonts w:ascii="Times New Roman" w:hAnsi="Times New Roman"/>
        </w:rPr>
        <w:t xml:space="preserve"> million </w:t>
      </w:r>
      <w:r w:rsidR="00C43197" w:rsidRPr="00A80EE1">
        <w:rPr>
          <w:rFonts w:ascii="Times New Roman" w:hAnsi="Times New Roman"/>
        </w:rPr>
        <w:t xml:space="preserve">for the </w:t>
      </w:r>
      <w:r w:rsidR="003A2C5E" w:rsidRPr="00A80EE1">
        <w:rPr>
          <w:rFonts w:ascii="Times New Roman" w:hAnsi="Times New Roman"/>
        </w:rPr>
        <w:t>twelve</w:t>
      </w:r>
      <w:r w:rsidR="00C43197" w:rsidRPr="00A80EE1">
        <w:rPr>
          <w:rFonts w:ascii="Times New Roman" w:hAnsi="Times New Roman"/>
        </w:rPr>
        <w:t xml:space="preserve"> months ended </w:t>
      </w:r>
      <w:r w:rsidR="003A2C5E" w:rsidRPr="00A80EE1">
        <w:rPr>
          <w:rFonts w:ascii="Times New Roman" w:hAnsi="Times New Roman"/>
        </w:rPr>
        <w:t>December 31</w:t>
      </w:r>
      <w:r w:rsidR="00E77195" w:rsidRPr="00A80EE1">
        <w:rPr>
          <w:rFonts w:ascii="Times New Roman" w:hAnsi="Times New Roman"/>
        </w:rPr>
        <w:t>, 201</w:t>
      </w:r>
      <w:r w:rsidR="00F82643" w:rsidRPr="00A80EE1">
        <w:rPr>
          <w:rFonts w:ascii="Times New Roman" w:hAnsi="Times New Roman"/>
        </w:rPr>
        <w:t>8</w:t>
      </w:r>
      <w:r w:rsidR="003A2C5E" w:rsidRPr="00A80EE1">
        <w:rPr>
          <w:rFonts w:ascii="Times New Roman" w:hAnsi="Times New Roman"/>
        </w:rPr>
        <w:t xml:space="preserve"> or </w:t>
      </w:r>
      <w:r w:rsidR="00F82643" w:rsidRPr="00A80EE1">
        <w:rPr>
          <w:rFonts w:ascii="Times New Roman" w:hAnsi="Times New Roman"/>
        </w:rPr>
        <w:t>20.9</w:t>
      </w:r>
      <w:r w:rsidR="007C360A" w:rsidRPr="00A80EE1">
        <w:rPr>
          <w:rFonts w:ascii="Times New Roman" w:hAnsi="Times New Roman"/>
        </w:rPr>
        <w:t xml:space="preserve"> percent</w:t>
      </w:r>
    </w:p>
    <w:p w14:paraId="75BE4BD3" w14:textId="77777777" w:rsidR="003A7E46" w:rsidRPr="00A80EE1" w:rsidRDefault="00A677DF" w:rsidP="00A704ED">
      <w:pPr>
        <w:pStyle w:val="ListParagraph"/>
        <w:numPr>
          <w:ilvl w:val="0"/>
          <w:numId w:val="4"/>
        </w:numPr>
        <w:rPr>
          <w:rFonts w:ascii="Times New Roman" w:hAnsi="Times New Roman"/>
        </w:rPr>
      </w:pPr>
      <w:r w:rsidRPr="00A80EE1">
        <w:rPr>
          <w:rFonts w:ascii="Times New Roman" w:eastAsia="Times New Roman" w:hAnsi="Times New Roman"/>
        </w:rPr>
        <w:t>Core depos</w:t>
      </w:r>
      <w:r w:rsidR="00E77195" w:rsidRPr="00A80EE1">
        <w:rPr>
          <w:rFonts w:ascii="Times New Roman" w:eastAsia="Times New Roman" w:hAnsi="Times New Roman"/>
        </w:rPr>
        <w:t xml:space="preserve">it growth </w:t>
      </w:r>
      <w:r w:rsidR="00D36E6B" w:rsidRPr="00A80EE1">
        <w:rPr>
          <w:rFonts w:ascii="Times New Roman" w:eastAsia="Times New Roman" w:hAnsi="Times New Roman"/>
        </w:rPr>
        <w:t>of $</w:t>
      </w:r>
      <w:r w:rsidR="00F82643" w:rsidRPr="00A80EE1">
        <w:rPr>
          <w:rFonts w:ascii="Times New Roman" w:eastAsia="Times New Roman" w:hAnsi="Times New Roman"/>
        </w:rPr>
        <w:t>26.4</w:t>
      </w:r>
      <w:r w:rsidR="00493725" w:rsidRPr="00A80EE1">
        <w:rPr>
          <w:rFonts w:ascii="Times New Roman" w:eastAsia="Times New Roman" w:hAnsi="Times New Roman"/>
        </w:rPr>
        <w:t xml:space="preserve"> million </w:t>
      </w:r>
      <w:r w:rsidR="00C43197" w:rsidRPr="00A80EE1">
        <w:rPr>
          <w:rFonts w:ascii="Times New Roman" w:eastAsia="Times New Roman" w:hAnsi="Times New Roman"/>
        </w:rPr>
        <w:t xml:space="preserve">for the </w:t>
      </w:r>
      <w:r w:rsidR="003A2C5E" w:rsidRPr="00A80EE1">
        <w:rPr>
          <w:rFonts w:ascii="Times New Roman" w:eastAsia="Times New Roman" w:hAnsi="Times New Roman"/>
        </w:rPr>
        <w:t>twelve</w:t>
      </w:r>
      <w:r w:rsidR="00C43197" w:rsidRPr="00A80EE1">
        <w:rPr>
          <w:rFonts w:ascii="Times New Roman" w:eastAsia="Times New Roman" w:hAnsi="Times New Roman"/>
        </w:rPr>
        <w:t xml:space="preserve"> months ended </w:t>
      </w:r>
      <w:r w:rsidR="003A2C5E" w:rsidRPr="00A80EE1">
        <w:rPr>
          <w:rFonts w:ascii="Times New Roman" w:eastAsia="Times New Roman" w:hAnsi="Times New Roman"/>
        </w:rPr>
        <w:t>December 31</w:t>
      </w:r>
      <w:r w:rsidR="00E77195" w:rsidRPr="00A80EE1">
        <w:rPr>
          <w:rFonts w:ascii="Times New Roman" w:eastAsia="Times New Roman" w:hAnsi="Times New Roman"/>
        </w:rPr>
        <w:t>, 201</w:t>
      </w:r>
      <w:r w:rsidR="00F82643" w:rsidRPr="00A80EE1">
        <w:rPr>
          <w:rFonts w:ascii="Times New Roman" w:eastAsia="Times New Roman" w:hAnsi="Times New Roman"/>
        </w:rPr>
        <w:t>8</w:t>
      </w:r>
      <w:r w:rsidR="00493725" w:rsidRPr="00A80EE1">
        <w:rPr>
          <w:rFonts w:ascii="Times New Roman" w:eastAsia="Times New Roman" w:hAnsi="Times New Roman"/>
        </w:rPr>
        <w:t xml:space="preserve"> </w:t>
      </w:r>
      <w:r w:rsidR="003A2C5E" w:rsidRPr="00A80EE1">
        <w:rPr>
          <w:rFonts w:ascii="Times New Roman" w:eastAsia="Times New Roman" w:hAnsi="Times New Roman"/>
        </w:rPr>
        <w:t>or</w:t>
      </w:r>
      <w:r w:rsidR="00493725" w:rsidRPr="00A80EE1">
        <w:rPr>
          <w:rFonts w:ascii="Times New Roman" w:eastAsia="Times New Roman" w:hAnsi="Times New Roman"/>
        </w:rPr>
        <w:t xml:space="preserve"> </w:t>
      </w:r>
      <w:r w:rsidR="00F82643" w:rsidRPr="00A80EE1">
        <w:rPr>
          <w:rFonts w:ascii="Times New Roman" w:eastAsia="Times New Roman" w:hAnsi="Times New Roman"/>
        </w:rPr>
        <w:t>10.8</w:t>
      </w:r>
      <w:r w:rsidR="003A2C5E" w:rsidRPr="00A80EE1">
        <w:rPr>
          <w:rFonts w:ascii="Times New Roman" w:eastAsia="Times New Roman" w:hAnsi="Times New Roman"/>
        </w:rPr>
        <w:t xml:space="preserve"> percent</w:t>
      </w:r>
      <w:r w:rsidR="00331DD7" w:rsidRPr="00A80EE1">
        <w:rPr>
          <w:rFonts w:ascii="Times New Roman" w:eastAsia="Times New Roman" w:hAnsi="Times New Roman"/>
        </w:rPr>
        <w:t xml:space="preserve"> </w:t>
      </w:r>
    </w:p>
    <w:p w14:paraId="206FDB3C" w14:textId="77777777" w:rsidR="0066462F" w:rsidRPr="00A80EE1" w:rsidRDefault="0066462F" w:rsidP="00A704ED">
      <w:pPr>
        <w:pStyle w:val="ListParagraph"/>
        <w:numPr>
          <w:ilvl w:val="0"/>
          <w:numId w:val="4"/>
        </w:numPr>
        <w:rPr>
          <w:rFonts w:ascii="Times New Roman" w:hAnsi="Times New Roman"/>
        </w:rPr>
      </w:pPr>
      <w:r w:rsidRPr="00A80EE1">
        <w:rPr>
          <w:rFonts w:ascii="Times New Roman" w:hAnsi="Times New Roman"/>
        </w:rPr>
        <w:t xml:space="preserve">Asset growth of </w:t>
      </w:r>
      <w:r w:rsidR="00A80EE1" w:rsidRPr="00A80EE1">
        <w:rPr>
          <w:rFonts w:ascii="Times New Roman" w:hAnsi="Times New Roman"/>
        </w:rPr>
        <w:t>$51.6 million for the twelve months ended December 31, 2018 or 16.8 percent</w:t>
      </w:r>
    </w:p>
    <w:p w14:paraId="7E3A50C1" w14:textId="77777777" w:rsidR="00F52F1F" w:rsidRPr="00A80EE1" w:rsidRDefault="00F52F1F" w:rsidP="00F52F1F">
      <w:pPr>
        <w:pStyle w:val="ListParagraph"/>
        <w:numPr>
          <w:ilvl w:val="0"/>
          <w:numId w:val="4"/>
        </w:numPr>
        <w:rPr>
          <w:rFonts w:ascii="Times New Roman" w:hAnsi="Times New Roman"/>
        </w:rPr>
      </w:pPr>
      <w:r w:rsidRPr="00A80EE1">
        <w:rPr>
          <w:rFonts w:ascii="Times New Roman" w:eastAsia="Times New Roman" w:hAnsi="Times New Roman"/>
        </w:rPr>
        <w:t xml:space="preserve">Continued solid asset quality with </w:t>
      </w:r>
      <w:r w:rsidR="004C3A8A" w:rsidRPr="00A80EE1">
        <w:rPr>
          <w:rFonts w:ascii="Times New Roman" w:eastAsia="Times New Roman" w:hAnsi="Times New Roman"/>
        </w:rPr>
        <w:t xml:space="preserve">no </w:t>
      </w:r>
      <w:r w:rsidR="001C3A45" w:rsidRPr="00A80EE1">
        <w:rPr>
          <w:rFonts w:ascii="Times New Roman" w:eastAsia="Times New Roman" w:hAnsi="Times New Roman"/>
        </w:rPr>
        <w:t>foreclosed property</w:t>
      </w:r>
      <w:r w:rsidR="00F82643" w:rsidRPr="00A80EE1">
        <w:rPr>
          <w:rFonts w:ascii="Times New Roman" w:eastAsia="Times New Roman" w:hAnsi="Times New Roman"/>
        </w:rPr>
        <w:t xml:space="preserve"> as of December 31, 2018</w:t>
      </w:r>
    </w:p>
    <w:p w14:paraId="1E38F2A7" w14:textId="77777777" w:rsidR="00F52F1F" w:rsidRPr="00A80EE1" w:rsidRDefault="001E32A8" w:rsidP="00F52F1F">
      <w:pPr>
        <w:pStyle w:val="ListParagraph"/>
        <w:numPr>
          <w:ilvl w:val="0"/>
          <w:numId w:val="4"/>
        </w:numPr>
        <w:rPr>
          <w:rFonts w:ascii="Times New Roman" w:hAnsi="Times New Roman"/>
        </w:rPr>
      </w:pPr>
      <w:r w:rsidRPr="00A80EE1">
        <w:rPr>
          <w:rFonts w:ascii="Times New Roman" w:eastAsia="Times New Roman" w:hAnsi="Times New Roman"/>
        </w:rPr>
        <w:t xml:space="preserve">Paid the </w:t>
      </w:r>
      <w:r w:rsidR="00F82643" w:rsidRPr="00A80EE1">
        <w:rPr>
          <w:rFonts w:ascii="Times New Roman" w:eastAsia="Times New Roman" w:hAnsi="Times New Roman"/>
        </w:rPr>
        <w:t>sixth</w:t>
      </w:r>
      <w:r w:rsidR="00F52F1F" w:rsidRPr="00A80EE1">
        <w:rPr>
          <w:rFonts w:ascii="Times New Roman" w:eastAsia="Times New Roman" w:hAnsi="Times New Roman"/>
        </w:rPr>
        <w:t xml:space="preserve"> annual </w:t>
      </w:r>
      <w:r w:rsidRPr="00A80EE1">
        <w:rPr>
          <w:rFonts w:ascii="Times New Roman" w:eastAsia="Times New Roman" w:hAnsi="Times New Roman"/>
        </w:rPr>
        <w:t xml:space="preserve">consecutive </w:t>
      </w:r>
      <w:r w:rsidR="00F52F1F" w:rsidRPr="00A80EE1">
        <w:rPr>
          <w:rFonts w:ascii="Times New Roman" w:eastAsia="Times New Roman" w:hAnsi="Times New Roman"/>
        </w:rPr>
        <w:t>cash dividend</w:t>
      </w:r>
      <w:r w:rsidR="004C3A8A" w:rsidRPr="00A80EE1">
        <w:rPr>
          <w:rFonts w:ascii="Times New Roman" w:eastAsia="Times New Roman" w:hAnsi="Times New Roman"/>
        </w:rPr>
        <w:t xml:space="preserve"> to shareholders</w:t>
      </w:r>
    </w:p>
    <w:p w14:paraId="09C1B1EF" w14:textId="77777777" w:rsidR="001E32A8" w:rsidRDefault="00F82643" w:rsidP="00F82643">
      <w:pPr>
        <w:pStyle w:val="ListParagraph"/>
        <w:numPr>
          <w:ilvl w:val="0"/>
          <w:numId w:val="4"/>
        </w:numPr>
        <w:rPr>
          <w:rFonts w:ascii="Times New Roman" w:hAnsi="Times New Roman"/>
        </w:rPr>
      </w:pPr>
      <w:r w:rsidRPr="00A80EE1">
        <w:rPr>
          <w:rFonts w:ascii="Times New Roman" w:eastAsia="Times New Roman" w:hAnsi="Times New Roman"/>
          <w:sz w:val="24"/>
          <w:szCs w:val="24"/>
        </w:rPr>
        <w:t xml:space="preserve">Net income and capital </w:t>
      </w:r>
      <w:r w:rsidR="00A80EE1" w:rsidRPr="00A80EE1">
        <w:rPr>
          <w:rFonts w:ascii="Times New Roman" w:eastAsia="Times New Roman" w:hAnsi="Times New Roman"/>
          <w:sz w:val="24"/>
          <w:szCs w:val="24"/>
        </w:rPr>
        <w:t>were</w:t>
      </w:r>
      <w:r w:rsidRPr="00A80EE1">
        <w:rPr>
          <w:rFonts w:ascii="Times New Roman" w:eastAsia="Times New Roman" w:hAnsi="Times New Roman"/>
          <w:sz w:val="24"/>
          <w:szCs w:val="24"/>
        </w:rPr>
        <w:t xml:space="preserve"> positively impacted by a gain of $1.3 million for the sale of </w:t>
      </w:r>
      <w:proofErr w:type="spellStart"/>
      <w:r w:rsidRPr="00A80EE1">
        <w:rPr>
          <w:rFonts w:ascii="Times New Roman" w:eastAsia="Times New Roman" w:hAnsi="Times New Roman"/>
          <w:sz w:val="24"/>
          <w:szCs w:val="24"/>
        </w:rPr>
        <w:t>Aquesta’s</w:t>
      </w:r>
      <w:proofErr w:type="spellEnd"/>
      <w:r w:rsidRPr="00A80EE1">
        <w:rPr>
          <w:rFonts w:ascii="Times New Roman" w:eastAsia="Times New Roman" w:hAnsi="Times New Roman"/>
          <w:sz w:val="24"/>
          <w:szCs w:val="24"/>
        </w:rPr>
        <w:t xml:space="preserve"> insurance company in the second quarter of 2018</w:t>
      </w:r>
      <w:r w:rsidRPr="00A80EE1">
        <w:rPr>
          <w:rFonts w:ascii="Times New Roman" w:hAnsi="Times New Roman"/>
        </w:rPr>
        <w:t xml:space="preserve">. </w:t>
      </w:r>
    </w:p>
    <w:p w14:paraId="66D3D951" w14:textId="77777777" w:rsidR="008B670B" w:rsidRDefault="008B670B" w:rsidP="00F82643">
      <w:pPr>
        <w:pStyle w:val="ListParagraph"/>
        <w:numPr>
          <w:ilvl w:val="0"/>
          <w:numId w:val="4"/>
        </w:numPr>
        <w:rPr>
          <w:rFonts w:ascii="Times New Roman" w:hAnsi="Times New Roman"/>
        </w:rPr>
      </w:pPr>
      <w:r>
        <w:rPr>
          <w:rFonts w:ascii="Times New Roman" w:hAnsi="Times New Roman"/>
        </w:rPr>
        <w:t>Expanded Loan Production Offices to Raleigh, N.C. and Charleston, S.C.</w:t>
      </w:r>
    </w:p>
    <w:p w14:paraId="6844DACE" w14:textId="77777777" w:rsidR="008B670B" w:rsidRPr="00A80EE1" w:rsidRDefault="008B670B" w:rsidP="00F82643">
      <w:pPr>
        <w:pStyle w:val="ListParagraph"/>
        <w:numPr>
          <w:ilvl w:val="0"/>
          <w:numId w:val="4"/>
        </w:numPr>
        <w:rPr>
          <w:rFonts w:ascii="Times New Roman" w:hAnsi="Times New Roman"/>
        </w:rPr>
      </w:pPr>
      <w:r>
        <w:rPr>
          <w:rFonts w:ascii="Times New Roman" w:hAnsi="Times New Roman"/>
        </w:rPr>
        <w:t>Successful transition to new, mo</w:t>
      </w:r>
      <w:r w:rsidR="00BA1D12">
        <w:rPr>
          <w:rFonts w:ascii="Times New Roman" w:hAnsi="Times New Roman"/>
        </w:rPr>
        <w:t>re robust core operating system</w:t>
      </w:r>
    </w:p>
    <w:p w14:paraId="348AFDA2" w14:textId="77777777" w:rsidR="00721CF1" w:rsidRPr="00A80EE1" w:rsidRDefault="00F82643" w:rsidP="00F52F1F">
      <w:pPr>
        <w:pStyle w:val="ListParagraph"/>
        <w:numPr>
          <w:ilvl w:val="0"/>
          <w:numId w:val="4"/>
        </w:numPr>
        <w:rPr>
          <w:rFonts w:ascii="Times New Roman" w:hAnsi="Times New Roman"/>
        </w:rPr>
      </w:pPr>
      <w:r w:rsidRPr="00A80EE1">
        <w:rPr>
          <w:rFonts w:ascii="Times New Roman" w:eastAsia="Times New Roman" w:hAnsi="Times New Roman"/>
        </w:rPr>
        <w:t>Successful opening of our Operations Center in Mooresville, North Carolina</w:t>
      </w:r>
      <w:r w:rsidR="00721CF1" w:rsidRPr="00A80EE1">
        <w:rPr>
          <w:rFonts w:ascii="Times New Roman" w:eastAsia="Times New Roman" w:hAnsi="Times New Roman"/>
        </w:rPr>
        <w:t xml:space="preserve"> </w:t>
      </w:r>
    </w:p>
    <w:p w14:paraId="5330FFCD" w14:textId="77777777" w:rsidR="00F52F1F" w:rsidRPr="002D23CC" w:rsidRDefault="00F52F1F" w:rsidP="00F52F1F">
      <w:pPr>
        <w:pStyle w:val="ListParagraph"/>
      </w:pPr>
    </w:p>
    <w:p w14:paraId="19D22E0C" w14:textId="77777777" w:rsidR="007235C3" w:rsidRPr="002D23CC" w:rsidRDefault="00F41E80" w:rsidP="00C87248">
      <w:pPr>
        <w:rPr>
          <w:b/>
          <w:sz w:val="22"/>
          <w:szCs w:val="22"/>
        </w:rPr>
      </w:pPr>
      <w:r w:rsidRPr="002D23CC">
        <w:rPr>
          <w:b/>
          <w:sz w:val="22"/>
          <w:szCs w:val="22"/>
        </w:rPr>
        <w:t xml:space="preserve">Solid </w:t>
      </w:r>
      <w:r w:rsidR="007235C3" w:rsidRPr="002D23CC">
        <w:rPr>
          <w:b/>
          <w:sz w:val="22"/>
          <w:szCs w:val="22"/>
        </w:rPr>
        <w:t>Balance Sheet Growth</w:t>
      </w:r>
    </w:p>
    <w:p w14:paraId="2F3D3C48" w14:textId="77777777" w:rsidR="007E0C8A" w:rsidRPr="002D23CC" w:rsidRDefault="007235C3" w:rsidP="00C87248">
      <w:pPr>
        <w:rPr>
          <w:sz w:val="22"/>
          <w:szCs w:val="22"/>
        </w:rPr>
      </w:pPr>
      <w:r w:rsidRPr="002D23CC">
        <w:rPr>
          <w:sz w:val="22"/>
          <w:szCs w:val="22"/>
        </w:rPr>
        <w:t xml:space="preserve">At </w:t>
      </w:r>
      <w:r w:rsidR="004B3A87" w:rsidRPr="002D23CC">
        <w:rPr>
          <w:sz w:val="22"/>
          <w:szCs w:val="22"/>
        </w:rPr>
        <w:t>December 31, 201</w:t>
      </w:r>
      <w:r w:rsidR="00F82643">
        <w:rPr>
          <w:sz w:val="22"/>
          <w:szCs w:val="22"/>
        </w:rPr>
        <w:t>8</w:t>
      </w:r>
      <w:r w:rsidRPr="002D23CC">
        <w:rPr>
          <w:sz w:val="22"/>
          <w:szCs w:val="22"/>
        </w:rPr>
        <w:t>, Aquesta’s total assets were $</w:t>
      </w:r>
      <w:r w:rsidR="00F82643">
        <w:rPr>
          <w:sz w:val="22"/>
          <w:szCs w:val="22"/>
        </w:rPr>
        <w:t>460.</w:t>
      </w:r>
      <w:r w:rsidR="00F65642">
        <w:rPr>
          <w:sz w:val="22"/>
          <w:szCs w:val="22"/>
        </w:rPr>
        <w:t>1</w:t>
      </w:r>
      <w:r w:rsidRPr="002D23CC">
        <w:rPr>
          <w:sz w:val="22"/>
          <w:szCs w:val="22"/>
        </w:rPr>
        <w:t xml:space="preserve"> million</w:t>
      </w:r>
      <w:r w:rsidR="00F56001" w:rsidRPr="002D23CC">
        <w:rPr>
          <w:sz w:val="22"/>
          <w:szCs w:val="22"/>
        </w:rPr>
        <w:t xml:space="preserve"> compared to $</w:t>
      </w:r>
      <w:r w:rsidR="00F82643">
        <w:rPr>
          <w:sz w:val="22"/>
          <w:szCs w:val="22"/>
        </w:rPr>
        <w:t>408.6</w:t>
      </w:r>
      <w:r w:rsidR="00F56001" w:rsidRPr="002D23CC">
        <w:rPr>
          <w:sz w:val="22"/>
          <w:szCs w:val="22"/>
        </w:rPr>
        <w:t xml:space="preserve"> million at December 31, 201</w:t>
      </w:r>
      <w:r w:rsidR="00F82643">
        <w:rPr>
          <w:sz w:val="22"/>
          <w:szCs w:val="22"/>
        </w:rPr>
        <w:t>7</w:t>
      </w:r>
      <w:r w:rsidR="00F56001" w:rsidRPr="002D23CC">
        <w:rPr>
          <w:sz w:val="22"/>
          <w:szCs w:val="22"/>
        </w:rPr>
        <w:t>.  Total</w:t>
      </w:r>
      <w:r w:rsidRPr="002D23CC">
        <w:rPr>
          <w:sz w:val="22"/>
          <w:szCs w:val="22"/>
        </w:rPr>
        <w:t xml:space="preserve"> loans were $</w:t>
      </w:r>
      <w:r w:rsidR="00F82643">
        <w:rPr>
          <w:sz w:val="22"/>
          <w:szCs w:val="22"/>
        </w:rPr>
        <w:t>369.0</w:t>
      </w:r>
      <w:r w:rsidRPr="002D23CC">
        <w:rPr>
          <w:sz w:val="22"/>
          <w:szCs w:val="22"/>
        </w:rPr>
        <w:t xml:space="preserve"> million </w:t>
      </w:r>
      <w:r w:rsidR="00C43197" w:rsidRPr="002D23CC">
        <w:rPr>
          <w:sz w:val="22"/>
          <w:szCs w:val="22"/>
        </w:rPr>
        <w:t xml:space="preserve">at </w:t>
      </w:r>
      <w:r w:rsidR="004B3A87" w:rsidRPr="002D23CC">
        <w:rPr>
          <w:sz w:val="22"/>
          <w:szCs w:val="22"/>
        </w:rPr>
        <w:t>December 31</w:t>
      </w:r>
      <w:r w:rsidR="00F56001" w:rsidRPr="002D23CC">
        <w:rPr>
          <w:sz w:val="22"/>
          <w:szCs w:val="22"/>
        </w:rPr>
        <w:t>, 201</w:t>
      </w:r>
      <w:r w:rsidR="00F82643">
        <w:rPr>
          <w:sz w:val="22"/>
          <w:szCs w:val="22"/>
        </w:rPr>
        <w:t>8</w:t>
      </w:r>
      <w:r w:rsidR="00F56001" w:rsidRPr="002D23CC">
        <w:rPr>
          <w:sz w:val="22"/>
          <w:szCs w:val="22"/>
        </w:rPr>
        <w:t xml:space="preserve"> compared to $</w:t>
      </w:r>
      <w:r w:rsidR="00F82643">
        <w:rPr>
          <w:sz w:val="22"/>
          <w:szCs w:val="22"/>
        </w:rPr>
        <w:t>305.3</w:t>
      </w:r>
      <w:r w:rsidR="00F56001" w:rsidRPr="002D23CC">
        <w:rPr>
          <w:sz w:val="22"/>
          <w:szCs w:val="22"/>
        </w:rPr>
        <w:t xml:space="preserve"> million </w:t>
      </w:r>
      <w:r w:rsidR="00C55857" w:rsidRPr="002D23CC">
        <w:rPr>
          <w:sz w:val="22"/>
          <w:szCs w:val="22"/>
        </w:rPr>
        <w:t>at December 31, 201</w:t>
      </w:r>
      <w:r w:rsidR="00F82643">
        <w:rPr>
          <w:sz w:val="22"/>
          <w:szCs w:val="22"/>
        </w:rPr>
        <w:t>7</w:t>
      </w:r>
      <w:r w:rsidR="00F56001" w:rsidRPr="002D23CC">
        <w:rPr>
          <w:sz w:val="22"/>
          <w:szCs w:val="22"/>
        </w:rPr>
        <w:t>.  Core deposits were $</w:t>
      </w:r>
      <w:r w:rsidR="00CB52D4">
        <w:rPr>
          <w:sz w:val="22"/>
          <w:szCs w:val="22"/>
        </w:rPr>
        <w:t>270.3</w:t>
      </w:r>
      <w:r w:rsidR="00F56001" w:rsidRPr="002D23CC">
        <w:rPr>
          <w:sz w:val="22"/>
          <w:szCs w:val="22"/>
        </w:rPr>
        <w:t xml:space="preserve"> million at </w:t>
      </w:r>
      <w:r w:rsidR="004B3A87" w:rsidRPr="002D23CC">
        <w:rPr>
          <w:sz w:val="22"/>
          <w:szCs w:val="22"/>
        </w:rPr>
        <w:t>December 31</w:t>
      </w:r>
      <w:r w:rsidR="00F56001" w:rsidRPr="002D23CC">
        <w:rPr>
          <w:sz w:val="22"/>
          <w:szCs w:val="22"/>
        </w:rPr>
        <w:t>, 201</w:t>
      </w:r>
      <w:r w:rsidR="00F82643">
        <w:rPr>
          <w:sz w:val="22"/>
          <w:szCs w:val="22"/>
        </w:rPr>
        <w:t>8</w:t>
      </w:r>
      <w:r w:rsidR="00F56001" w:rsidRPr="002D23CC">
        <w:rPr>
          <w:sz w:val="22"/>
          <w:szCs w:val="22"/>
        </w:rPr>
        <w:t xml:space="preserve"> compared to $</w:t>
      </w:r>
      <w:r w:rsidR="00CB52D4">
        <w:rPr>
          <w:sz w:val="22"/>
          <w:szCs w:val="22"/>
        </w:rPr>
        <w:t>243.9</w:t>
      </w:r>
      <w:r w:rsidR="00F56001" w:rsidRPr="002D23CC">
        <w:rPr>
          <w:sz w:val="22"/>
          <w:szCs w:val="22"/>
        </w:rPr>
        <w:t xml:space="preserve"> million at December 31, 201</w:t>
      </w:r>
      <w:r w:rsidR="00CB52D4">
        <w:rPr>
          <w:sz w:val="22"/>
          <w:szCs w:val="22"/>
        </w:rPr>
        <w:t>7</w:t>
      </w:r>
      <w:r w:rsidR="00F41E80" w:rsidRPr="002D23CC">
        <w:rPr>
          <w:sz w:val="22"/>
          <w:szCs w:val="22"/>
        </w:rPr>
        <w:t>.</w:t>
      </w:r>
    </w:p>
    <w:p w14:paraId="01F46280" w14:textId="75DE21E6" w:rsidR="008B670B" w:rsidRDefault="007235C3" w:rsidP="00245F8B">
      <w:pPr>
        <w:rPr>
          <w:sz w:val="22"/>
          <w:szCs w:val="22"/>
        </w:rPr>
      </w:pPr>
      <w:r w:rsidRPr="002D23CC">
        <w:rPr>
          <w:sz w:val="22"/>
          <w:szCs w:val="22"/>
        </w:rPr>
        <w:t xml:space="preserve"> </w:t>
      </w:r>
      <w:r w:rsidR="008B670B">
        <w:rPr>
          <w:sz w:val="22"/>
          <w:szCs w:val="22"/>
        </w:rPr>
        <w:br w:type="page"/>
      </w:r>
    </w:p>
    <w:p w14:paraId="0C94C830" w14:textId="77777777" w:rsidR="00245F8B" w:rsidRDefault="00245F8B" w:rsidP="00C87248">
      <w:pPr>
        <w:rPr>
          <w:b/>
          <w:sz w:val="22"/>
          <w:szCs w:val="22"/>
        </w:rPr>
      </w:pPr>
    </w:p>
    <w:p w14:paraId="5935D696" w14:textId="77777777" w:rsidR="00245F8B" w:rsidRDefault="00245F8B" w:rsidP="00C87248">
      <w:pPr>
        <w:rPr>
          <w:b/>
          <w:sz w:val="22"/>
          <w:szCs w:val="22"/>
        </w:rPr>
      </w:pPr>
    </w:p>
    <w:p w14:paraId="2D9DEB08" w14:textId="77777777" w:rsidR="00245F8B" w:rsidRDefault="00245F8B" w:rsidP="00C87248">
      <w:pPr>
        <w:rPr>
          <w:b/>
          <w:sz w:val="22"/>
          <w:szCs w:val="22"/>
        </w:rPr>
      </w:pPr>
    </w:p>
    <w:p w14:paraId="3CCB5223" w14:textId="77777777" w:rsidR="00245F8B" w:rsidRDefault="00245F8B" w:rsidP="00C87248">
      <w:pPr>
        <w:rPr>
          <w:b/>
          <w:sz w:val="22"/>
          <w:szCs w:val="22"/>
        </w:rPr>
      </w:pPr>
    </w:p>
    <w:p w14:paraId="17736A38" w14:textId="1E4E4C21" w:rsidR="007235C3" w:rsidRPr="002D23CC" w:rsidRDefault="00326D1F" w:rsidP="00C87248">
      <w:pPr>
        <w:rPr>
          <w:sz w:val="22"/>
          <w:szCs w:val="22"/>
        </w:rPr>
      </w:pPr>
      <w:r w:rsidRPr="002D23CC">
        <w:rPr>
          <w:b/>
          <w:sz w:val="22"/>
          <w:szCs w:val="22"/>
        </w:rPr>
        <w:t xml:space="preserve">Strong </w:t>
      </w:r>
      <w:r w:rsidR="007235C3" w:rsidRPr="002D23CC">
        <w:rPr>
          <w:b/>
          <w:sz w:val="22"/>
          <w:szCs w:val="22"/>
        </w:rPr>
        <w:t>Asset Quality</w:t>
      </w:r>
    </w:p>
    <w:p w14:paraId="41BEB625" w14:textId="77777777" w:rsidR="00DF1E5C" w:rsidRPr="002D23CC" w:rsidRDefault="00CF7F1D" w:rsidP="00C87248">
      <w:pPr>
        <w:rPr>
          <w:sz w:val="22"/>
          <w:szCs w:val="22"/>
        </w:rPr>
      </w:pPr>
      <w:r w:rsidRPr="002D23CC">
        <w:rPr>
          <w:sz w:val="22"/>
          <w:szCs w:val="22"/>
        </w:rPr>
        <w:t xml:space="preserve">Asset quality remains strong.  </w:t>
      </w:r>
      <w:r w:rsidR="007235C3" w:rsidRPr="002D23CC">
        <w:rPr>
          <w:sz w:val="22"/>
          <w:szCs w:val="22"/>
        </w:rPr>
        <w:t xml:space="preserve">Nonperforming assets </w:t>
      </w:r>
      <w:r w:rsidR="00C55857" w:rsidRPr="002D23CC">
        <w:rPr>
          <w:sz w:val="22"/>
          <w:szCs w:val="22"/>
        </w:rPr>
        <w:t xml:space="preserve">as of </w:t>
      </w:r>
      <w:r w:rsidR="004B3A87" w:rsidRPr="002D23CC">
        <w:rPr>
          <w:sz w:val="22"/>
          <w:szCs w:val="22"/>
        </w:rPr>
        <w:t>December 31</w:t>
      </w:r>
      <w:r w:rsidR="001840CE" w:rsidRPr="002D23CC">
        <w:rPr>
          <w:sz w:val="22"/>
          <w:szCs w:val="22"/>
        </w:rPr>
        <w:t>, 201</w:t>
      </w:r>
      <w:r w:rsidR="00CB52D4">
        <w:rPr>
          <w:sz w:val="22"/>
          <w:szCs w:val="22"/>
        </w:rPr>
        <w:t>8</w:t>
      </w:r>
      <w:r w:rsidR="001840CE" w:rsidRPr="002D23CC">
        <w:rPr>
          <w:sz w:val="22"/>
          <w:szCs w:val="22"/>
        </w:rPr>
        <w:t xml:space="preserve"> were at $</w:t>
      </w:r>
      <w:r w:rsidR="00CB52D4">
        <w:rPr>
          <w:sz w:val="22"/>
          <w:szCs w:val="22"/>
        </w:rPr>
        <w:t>1.2 million</w:t>
      </w:r>
      <w:r w:rsidR="00C43197" w:rsidRPr="002D23CC">
        <w:rPr>
          <w:sz w:val="22"/>
          <w:szCs w:val="22"/>
        </w:rPr>
        <w:t xml:space="preserve"> </w:t>
      </w:r>
      <w:r w:rsidR="00F65C35" w:rsidRPr="002D23CC">
        <w:rPr>
          <w:sz w:val="22"/>
          <w:szCs w:val="22"/>
        </w:rPr>
        <w:t>compared to $</w:t>
      </w:r>
      <w:r w:rsidR="00CB52D4">
        <w:rPr>
          <w:sz w:val="22"/>
          <w:szCs w:val="22"/>
        </w:rPr>
        <w:t>27 thousand</w:t>
      </w:r>
      <w:r w:rsidR="00F65C35" w:rsidRPr="002D23CC">
        <w:rPr>
          <w:sz w:val="22"/>
          <w:szCs w:val="22"/>
        </w:rPr>
        <w:t xml:space="preserve"> as of December 31, 201</w:t>
      </w:r>
      <w:r w:rsidR="00A80EE1">
        <w:rPr>
          <w:sz w:val="22"/>
          <w:szCs w:val="22"/>
        </w:rPr>
        <w:t>7</w:t>
      </w:r>
      <w:r w:rsidR="00C55857" w:rsidRPr="002D23CC">
        <w:rPr>
          <w:sz w:val="22"/>
          <w:szCs w:val="22"/>
        </w:rPr>
        <w:t xml:space="preserve"> </w:t>
      </w:r>
      <w:r w:rsidR="00DF0EAD" w:rsidRPr="002D23CC">
        <w:rPr>
          <w:sz w:val="22"/>
          <w:szCs w:val="22"/>
        </w:rPr>
        <w:t xml:space="preserve"> </w:t>
      </w:r>
      <w:r w:rsidR="007235C3" w:rsidRPr="002D23CC">
        <w:rPr>
          <w:sz w:val="22"/>
          <w:szCs w:val="22"/>
        </w:rPr>
        <w:t xml:space="preserve"> Aquesta had $</w:t>
      </w:r>
      <w:r w:rsidR="00CB52D4">
        <w:rPr>
          <w:sz w:val="22"/>
          <w:szCs w:val="22"/>
        </w:rPr>
        <w:t>1.2 million</w:t>
      </w:r>
      <w:r w:rsidR="007235C3" w:rsidRPr="002D23CC">
        <w:rPr>
          <w:sz w:val="22"/>
          <w:szCs w:val="22"/>
        </w:rPr>
        <w:t xml:space="preserve"> in nonaccrual loans as of </w:t>
      </w:r>
      <w:r w:rsidR="004B3A87" w:rsidRPr="002D23CC">
        <w:rPr>
          <w:sz w:val="22"/>
          <w:szCs w:val="22"/>
        </w:rPr>
        <w:t>December 31</w:t>
      </w:r>
      <w:r w:rsidR="007235C3" w:rsidRPr="002D23CC">
        <w:rPr>
          <w:sz w:val="22"/>
          <w:szCs w:val="22"/>
        </w:rPr>
        <w:t>, 201</w:t>
      </w:r>
      <w:r w:rsidR="00CB52D4">
        <w:rPr>
          <w:sz w:val="22"/>
          <w:szCs w:val="22"/>
        </w:rPr>
        <w:t>8</w:t>
      </w:r>
      <w:r w:rsidR="007235C3" w:rsidRPr="002D23CC">
        <w:rPr>
          <w:sz w:val="22"/>
          <w:szCs w:val="22"/>
        </w:rPr>
        <w:t xml:space="preserve"> compared to </w:t>
      </w:r>
      <w:r w:rsidR="00C55857" w:rsidRPr="002D23CC">
        <w:rPr>
          <w:sz w:val="22"/>
          <w:szCs w:val="22"/>
        </w:rPr>
        <w:t>$</w:t>
      </w:r>
      <w:r w:rsidR="00CB52D4">
        <w:rPr>
          <w:sz w:val="22"/>
          <w:szCs w:val="22"/>
        </w:rPr>
        <w:t>27</w:t>
      </w:r>
      <w:r w:rsidR="00C55857" w:rsidRPr="002D23CC">
        <w:rPr>
          <w:sz w:val="22"/>
          <w:szCs w:val="22"/>
        </w:rPr>
        <w:t xml:space="preserve"> thousand in </w:t>
      </w:r>
      <w:r w:rsidR="007235C3" w:rsidRPr="002D23CC">
        <w:rPr>
          <w:sz w:val="22"/>
          <w:szCs w:val="22"/>
        </w:rPr>
        <w:t>nonaccrual loans as of December 31, 201</w:t>
      </w:r>
      <w:r w:rsidR="00CB52D4">
        <w:rPr>
          <w:sz w:val="22"/>
          <w:szCs w:val="22"/>
        </w:rPr>
        <w:t>7</w:t>
      </w:r>
      <w:r w:rsidR="007235C3" w:rsidRPr="002D23CC">
        <w:rPr>
          <w:sz w:val="22"/>
          <w:szCs w:val="22"/>
        </w:rPr>
        <w:t xml:space="preserve">.  </w:t>
      </w:r>
      <w:r w:rsidR="001972A4" w:rsidRPr="002D23CC">
        <w:rPr>
          <w:sz w:val="22"/>
          <w:szCs w:val="22"/>
        </w:rPr>
        <w:t>Aquesta</w:t>
      </w:r>
      <w:r w:rsidR="00C25F06" w:rsidRPr="002D23CC">
        <w:rPr>
          <w:sz w:val="22"/>
          <w:szCs w:val="22"/>
        </w:rPr>
        <w:t xml:space="preserve"> had</w:t>
      </w:r>
      <w:r w:rsidR="004B3A87" w:rsidRPr="002D23CC">
        <w:rPr>
          <w:sz w:val="22"/>
          <w:szCs w:val="22"/>
        </w:rPr>
        <w:t xml:space="preserve"> </w:t>
      </w:r>
      <w:r w:rsidR="002D23CC">
        <w:rPr>
          <w:sz w:val="22"/>
          <w:szCs w:val="22"/>
        </w:rPr>
        <w:t xml:space="preserve">no </w:t>
      </w:r>
      <w:r w:rsidR="00D73BC8" w:rsidRPr="002D23CC">
        <w:rPr>
          <w:sz w:val="22"/>
          <w:szCs w:val="22"/>
        </w:rPr>
        <w:t>foreclosed property</w:t>
      </w:r>
      <w:r w:rsidR="004B3A87" w:rsidRPr="002D23CC">
        <w:rPr>
          <w:sz w:val="22"/>
          <w:szCs w:val="22"/>
        </w:rPr>
        <w:t xml:space="preserve"> at the</w:t>
      </w:r>
      <w:r w:rsidR="00C43197" w:rsidRPr="002D23CC">
        <w:rPr>
          <w:sz w:val="22"/>
          <w:szCs w:val="22"/>
        </w:rPr>
        <w:t xml:space="preserve"> end of</w:t>
      </w:r>
      <w:r w:rsidR="00AA1C47" w:rsidRPr="002D23CC">
        <w:rPr>
          <w:sz w:val="22"/>
          <w:szCs w:val="22"/>
        </w:rPr>
        <w:t xml:space="preserve"> 201</w:t>
      </w:r>
      <w:r w:rsidR="00CB52D4">
        <w:rPr>
          <w:sz w:val="22"/>
          <w:szCs w:val="22"/>
        </w:rPr>
        <w:t>8 and 2017.</w:t>
      </w:r>
      <w:r w:rsidR="007235C3" w:rsidRPr="002D23CC">
        <w:rPr>
          <w:sz w:val="22"/>
          <w:szCs w:val="22"/>
        </w:rPr>
        <w:t xml:space="preserve"> </w:t>
      </w:r>
      <w:r w:rsidR="000E7475" w:rsidRPr="002D23CC">
        <w:rPr>
          <w:sz w:val="22"/>
          <w:szCs w:val="22"/>
        </w:rPr>
        <w:t xml:space="preserve"> </w:t>
      </w:r>
    </w:p>
    <w:p w14:paraId="4C5E8514" w14:textId="77777777" w:rsidR="004B3A87" w:rsidRPr="002D23CC" w:rsidRDefault="004B3A87" w:rsidP="00C87248">
      <w:pPr>
        <w:rPr>
          <w:sz w:val="22"/>
          <w:szCs w:val="22"/>
        </w:rPr>
      </w:pPr>
    </w:p>
    <w:p w14:paraId="61242FB9" w14:textId="77777777" w:rsidR="007235C3" w:rsidRPr="002D23CC" w:rsidRDefault="007235C3" w:rsidP="00C87248">
      <w:pPr>
        <w:rPr>
          <w:sz w:val="22"/>
          <w:szCs w:val="22"/>
        </w:rPr>
      </w:pPr>
      <w:r w:rsidRPr="002D23CC">
        <w:rPr>
          <w:b/>
          <w:sz w:val="22"/>
          <w:szCs w:val="22"/>
        </w:rPr>
        <w:t>Net Interest Income</w:t>
      </w:r>
    </w:p>
    <w:p w14:paraId="4447B5C8" w14:textId="00B05EF2" w:rsidR="00F47477" w:rsidRPr="002D23CC" w:rsidRDefault="009407C9" w:rsidP="00C87248">
      <w:pPr>
        <w:rPr>
          <w:sz w:val="22"/>
          <w:szCs w:val="22"/>
        </w:rPr>
      </w:pPr>
      <w:r>
        <w:rPr>
          <w:sz w:val="22"/>
          <w:szCs w:val="22"/>
        </w:rPr>
        <w:t xml:space="preserve">Net </w:t>
      </w:r>
      <w:r w:rsidR="00F47477" w:rsidRPr="002D23CC">
        <w:rPr>
          <w:sz w:val="22"/>
          <w:szCs w:val="22"/>
        </w:rPr>
        <w:t xml:space="preserve">interest </w:t>
      </w:r>
      <w:r>
        <w:rPr>
          <w:sz w:val="22"/>
          <w:szCs w:val="22"/>
        </w:rPr>
        <w:t>income</w:t>
      </w:r>
      <w:r w:rsidR="00F47477" w:rsidRPr="002D23CC">
        <w:rPr>
          <w:sz w:val="22"/>
          <w:szCs w:val="22"/>
        </w:rPr>
        <w:t xml:space="preserve"> was $</w:t>
      </w:r>
      <w:r w:rsidR="00F65642">
        <w:rPr>
          <w:sz w:val="22"/>
          <w:szCs w:val="22"/>
        </w:rPr>
        <w:t>13.7</w:t>
      </w:r>
      <w:r w:rsidR="00F47477" w:rsidRPr="002D23CC">
        <w:rPr>
          <w:sz w:val="22"/>
          <w:szCs w:val="22"/>
        </w:rPr>
        <w:t xml:space="preserve"> million for the twelve months ended December 31, 201</w:t>
      </w:r>
      <w:r w:rsidR="00CB52D4">
        <w:rPr>
          <w:sz w:val="22"/>
          <w:szCs w:val="22"/>
        </w:rPr>
        <w:t>8</w:t>
      </w:r>
      <w:r w:rsidR="00F47477" w:rsidRPr="002D23CC">
        <w:rPr>
          <w:sz w:val="22"/>
          <w:szCs w:val="22"/>
        </w:rPr>
        <w:t xml:space="preserve"> compared to $</w:t>
      </w:r>
      <w:r w:rsidR="00E24D8D">
        <w:rPr>
          <w:sz w:val="22"/>
          <w:szCs w:val="22"/>
        </w:rPr>
        <w:t>12.6</w:t>
      </w:r>
      <w:r w:rsidR="00F47477" w:rsidRPr="002D23CC">
        <w:rPr>
          <w:sz w:val="22"/>
          <w:szCs w:val="22"/>
        </w:rPr>
        <w:t xml:space="preserve"> million for the twelve months ended December 31, 201</w:t>
      </w:r>
      <w:r w:rsidR="00CB52D4">
        <w:rPr>
          <w:sz w:val="22"/>
          <w:szCs w:val="22"/>
        </w:rPr>
        <w:t>7</w:t>
      </w:r>
      <w:r w:rsidR="00F47477" w:rsidRPr="002D23CC">
        <w:rPr>
          <w:sz w:val="22"/>
          <w:szCs w:val="22"/>
        </w:rPr>
        <w:t>.  This is an increase of $</w:t>
      </w:r>
      <w:r w:rsidR="00F65642">
        <w:rPr>
          <w:sz w:val="22"/>
          <w:szCs w:val="22"/>
        </w:rPr>
        <w:t>1</w:t>
      </w:r>
      <w:r w:rsidR="000155C0">
        <w:rPr>
          <w:sz w:val="22"/>
          <w:szCs w:val="22"/>
        </w:rPr>
        <w:t>.0</w:t>
      </w:r>
      <w:r w:rsidR="00F47477" w:rsidRPr="002D23CC">
        <w:rPr>
          <w:sz w:val="22"/>
          <w:szCs w:val="22"/>
        </w:rPr>
        <w:t xml:space="preserve"> million or </w:t>
      </w:r>
      <w:r w:rsidR="00F65642">
        <w:rPr>
          <w:sz w:val="22"/>
          <w:szCs w:val="22"/>
        </w:rPr>
        <w:t>7.9</w:t>
      </w:r>
      <w:r w:rsidR="00A80EE1">
        <w:rPr>
          <w:sz w:val="22"/>
          <w:szCs w:val="22"/>
        </w:rPr>
        <w:t xml:space="preserve"> percent</w:t>
      </w:r>
      <w:r w:rsidR="008B670B">
        <w:rPr>
          <w:sz w:val="22"/>
          <w:szCs w:val="22"/>
        </w:rPr>
        <w:t xml:space="preserve">.  </w:t>
      </w:r>
      <w:r w:rsidR="00F47477" w:rsidRPr="002D23CC">
        <w:rPr>
          <w:sz w:val="22"/>
          <w:szCs w:val="22"/>
        </w:rPr>
        <w:t xml:space="preserve"> The increase in net interest income continues to be directly associated with </w:t>
      </w:r>
      <w:proofErr w:type="spellStart"/>
      <w:r w:rsidR="00F47477" w:rsidRPr="002D23CC">
        <w:rPr>
          <w:sz w:val="22"/>
          <w:szCs w:val="22"/>
        </w:rPr>
        <w:t>Aquesta’s</w:t>
      </w:r>
      <w:proofErr w:type="spellEnd"/>
      <w:r w:rsidR="00F47477" w:rsidRPr="002D23CC">
        <w:rPr>
          <w:sz w:val="22"/>
          <w:szCs w:val="22"/>
        </w:rPr>
        <w:t xml:space="preserve"> continued loan growth</w:t>
      </w:r>
      <w:r w:rsidR="008B14EB">
        <w:rPr>
          <w:sz w:val="22"/>
          <w:szCs w:val="22"/>
        </w:rPr>
        <w:t>.</w:t>
      </w:r>
    </w:p>
    <w:p w14:paraId="0E1590E0" w14:textId="77777777" w:rsidR="001840CE" w:rsidRPr="002D23CC" w:rsidRDefault="001840CE" w:rsidP="00C87248">
      <w:pPr>
        <w:rPr>
          <w:sz w:val="22"/>
          <w:szCs w:val="22"/>
        </w:rPr>
      </w:pPr>
    </w:p>
    <w:p w14:paraId="6C63A555" w14:textId="77777777" w:rsidR="00C25F06" w:rsidRPr="002D23CC" w:rsidRDefault="00C25F06" w:rsidP="00C25F06">
      <w:pPr>
        <w:rPr>
          <w:b/>
          <w:sz w:val="22"/>
          <w:szCs w:val="22"/>
        </w:rPr>
      </w:pPr>
      <w:r w:rsidRPr="002D23CC">
        <w:rPr>
          <w:b/>
          <w:sz w:val="22"/>
          <w:szCs w:val="22"/>
        </w:rPr>
        <w:t>Non Interest Income</w:t>
      </w:r>
    </w:p>
    <w:p w14:paraId="45CAA46A" w14:textId="77777777" w:rsidR="00F47477" w:rsidRPr="002D23CC" w:rsidRDefault="009407C9" w:rsidP="00F47477">
      <w:pPr>
        <w:rPr>
          <w:sz w:val="22"/>
          <w:szCs w:val="22"/>
        </w:rPr>
      </w:pPr>
      <w:proofErr w:type="spellStart"/>
      <w:proofErr w:type="gramStart"/>
      <w:r>
        <w:rPr>
          <w:sz w:val="22"/>
          <w:szCs w:val="22"/>
        </w:rPr>
        <w:t>Non</w:t>
      </w:r>
      <w:r w:rsidR="00F47477" w:rsidRPr="002D23CC">
        <w:rPr>
          <w:sz w:val="22"/>
          <w:szCs w:val="22"/>
        </w:rPr>
        <w:t xml:space="preserve"> interest</w:t>
      </w:r>
      <w:proofErr w:type="spellEnd"/>
      <w:proofErr w:type="gramEnd"/>
      <w:r w:rsidR="00F47477" w:rsidRPr="002D23CC">
        <w:rPr>
          <w:sz w:val="22"/>
          <w:szCs w:val="22"/>
        </w:rPr>
        <w:t xml:space="preserve"> income was $</w:t>
      </w:r>
      <w:r w:rsidR="00E327FD">
        <w:rPr>
          <w:sz w:val="22"/>
          <w:szCs w:val="22"/>
        </w:rPr>
        <w:t>5.8</w:t>
      </w:r>
      <w:r w:rsidR="00F47477" w:rsidRPr="002D23CC">
        <w:rPr>
          <w:sz w:val="22"/>
          <w:szCs w:val="22"/>
        </w:rPr>
        <w:t xml:space="preserve"> million for the twelve months ended December 31, 201</w:t>
      </w:r>
      <w:r w:rsidR="008B14EB">
        <w:rPr>
          <w:sz w:val="22"/>
          <w:szCs w:val="22"/>
        </w:rPr>
        <w:t>8</w:t>
      </w:r>
      <w:r w:rsidR="00F47477" w:rsidRPr="002D23CC">
        <w:rPr>
          <w:sz w:val="22"/>
          <w:szCs w:val="22"/>
        </w:rPr>
        <w:t xml:space="preserve"> compared to $</w:t>
      </w:r>
      <w:r w:rsidR="008B14EB">
        <w:rPr>
          <w:sz w:val="22"/>
          <w:szCs w:val="22"/>
        </w:rPr>
        <w:t>3.7</w:t>
      </w:r>
      <w:r w:rsidR="00F47477" w:rsidRPr="002D23CC">
        <w:rPr>
          <w:sz w:val="22"/>
          <w:szCs w:val="22"/>
        </w:rPr>
        <w:t xml:space="preserve"> million for the twelve months ended December 31, 201</w:t>
      </w:r>
      <w:r w:rsidR="008B14EB">
        <w:rPr>
          <w:sz w:val="22"/>
          <w:szCs w:val="22"/>
        </w:rPr>
        <w:t>7</w:t>
      </w:r>
      <w:r w:rsidR="00F47477" w:rsidRPr="002D23CC">
        <w:rPr>
          <w:sz w:val="22"/>
          <w:szCs w:val="22"/>
        </w:rPr>
        <w:t xml:space="preserve">.  This </w:t>
      </w:r>
      <w:r w:rsidR="00A80EE1">
        <w:rPr>
          <w:sz w:val="22"/>
          <w:szCs w:val="22"/>
        </w:rPr>
        <w:t>increase</w:t>
      </w:r>
      <w:r w:rsidR="00F47477" w:rsidRPr="002D23CC">
        <w:rPr>
          <w:sz w:val="22"/>
          <w:szCs w:val="22"/>
        </w:rPr>
        <w:t xml:space="preserve"> is </w:t>
      </w:r>
      <w:r w:rsidR="000F3AD4" w:rsidRPr="002D23CC">
        <w:rPr>
          <w:sz w:val="22"/>
          <w:szCs w:val="22"/>
        </w:rPr>
        <w:t xml:space="preserve">primarily due to </w:t>
      </w:r>
      <w:r w:rsidR="008B14EB">
        <w:rPr>
          <w:sz w:val="22"/>
          <w:szCs w:val="22"/>
        </w:rPr>
        <w:t xml:space="preserve">gain on the </w:t>
      </w:r>
      <w:r w:rsidR="00D73BC8" w:rsidRPr="002D23CC">
        <w:rPr>
          <w:sz w:val="22"/>
          <w:szCs w:val="22"/>
        </w:rPr>
        <w:t xml:space="preserve">sale of </w:t>
      </w:r>
      <w:r w:rsidR="000F3AD4" w:rsidRPr="002D23CC">
        <w:rPr>
          <w:sz w:val="22"/>
          <w:szCs w:val="22"/>
        </w:rPr>
        <w:t xml:space="preserve">SBA </w:t>
      </w:r>
      <w:r w:rsidR="00D73BC8" w:rsidRPr="002D23CC">
        <w:rPr>
          <w:sz w:val="22"/>
          <w:szCs w:val="22"/>
        </w:rPr>
        <w:t>loans</w:t>
      </w:r>
      <w:r w:rsidR="00F47477" w:rsidRPr="002D23CC">
        <w:rPr>
          <w:sz w:val="22"/>
          <w:szCs w:val="22"/>
        </w:rPr>
        <w:t xml:space="preserve">. </w:t>
      </w:r>
    </w:p>
    <w:p w14:paraId="0A125E23" w14:textId="77777777" w:rsidR="00C25F06" w:rsidRPr="002D23CC" w:rsidRDefault="00C25F06" w:rsidP="00C25F06">
      <w:pPr>
        <w:rPr>
          <w:sz w:val="22"/>
          <w:szCs w:val="22"/>
        </w:rPr>
      </w:pPr>
    </w:p>
    <w:p w14:paraId="7DB22034" w14:textId="77777777" w:rsidR="008430D0" w:rsidRPr="002D23CC" w:rsidRDefault="008430D0" w:rsidP="00C87248">
      <w:pPr>
        <w:rPr>
          <w:b/>
          <w:sz w:val="22"/>
          <w:szCs w:val="22"/>
        </w:rPr>
      </w:pPr>
      <w:r w:rsidRPr="002D23CC">
        <w:rPr>
          <w:b/>
          <w:sz w:val="22"/>
          <w:szCs w:val="22"/>
        </w:rPr>
        <w:t>Non Interest Expense</w:t>
      </w:r>
    </w:p>
    <w:p w14:paraId="358A73A3" w14:textId="00D73692" w:rsidR="007235C3" w:rsidRPr="002D23CC" w:rsidRDefault="009407C9" w:rsidP="00C87248">
      <w:pPr>
        <w:rPr>
          <w:b/>
          <w:sz w:val="22"/>
          <w:szCs w:val="22"/>
        </w:rPr>
      </w:pPr>
      <w:proofErr w:type="spellStart"/>
      <w:proofErr w:type="gramStart"/>
      <w:r>
        <w:rPr>
          <w:sz w:val="22"/>
          <w:szCs w:val="22"/>
        </w:rPr>
        <w:t xml:space="preserve">Non </w:t>
      </w:r>
      <w:r w:rsidR="00E33102" w:rsidRPr="002D23CC">
        <w:rPr>
          <w:sz w:val="22"/>
          <w:szCs w:val="22"/>
        </w:rPr>
        <w:t>interest</w:t>
      </w:r>
      <w:proofErr w:type="spellEnd"/>
      <w:proofErr w:type="gramEnd"/>
      <w:r w:rsidR="00E33102" w:rsidRPr="002D23CC">
        <w:rPr>
          <w:sz w:val="22"/>
          <w:szCs w:val="22"/>
        </w:rPr>
        <w:t xml:space="preserve"> expense was </w:t>
      </w:r>
      <w:r w:rsidR="007E0C8A" w:rsidRPr="002D23CC">
        <w:rPr>
          <w:sz w:val="22"/>
          <w:szCs w:val="22"/>
        </w:rPr>
        <w:t>$</w:t>
      </w:r>
      <w:r w:rsidR="008B14EB">
        <w:rPr>
          <w:sz w:val="22"/>
          <w:szCs w:val="22"/>
        </w:rPr>
        <w:t>13.9</w:t>
      </w:r>
      <w:r w:rsidR="00AA1C47" w:rsidRPr="002D23CC">
        <w:rPr>
          <w:sz w:val="22"/>
          <w:szCs w:val="22"/>
        </w:rPr>
        <w:t xml:space="preserve"> mil</w:t>
      </w:r>
      <w:r w:rsidR="00AB60A8" w:rsidRPr="002D23CC">
        <w:rPr>
          <w:sz w:val="22"/>
          <w:szCs w:val="22"/>
        </w:rPr>
        <w:t xml:space="preserve">lion for the </w:t>
      </w:r>
      <w:r w:rsidR="00B4720A" w:rsidRPr="002D23CC">
        <w:rPr>
          <w:sz w:val="22"/>
          <w:szCs w:val="22"/>
        </w:rPr>
        <w:t>twelve</w:t>
      </w:r>
      <w:r w:rsidR="00AB60A8" w:rsidRPr="002D23CC">
        <w:rPr>
          <w:sz w:val="22"/>
          <w:szCs w:val="22"/>
        </w:rPr>
        <w:t xml:space="preserve"> months ended</w:t>
      </w:r>
      <w:r w:rsidR="00AA1C47" w:rsidRPr="002D23CC">
        <w:rPr>
          <w:sz w:val="22"/>
          <w:szCs w:val="22"/>
        </w:rPr>
        <w:t xml:space="preserve"> </w:t>
      </w:r>
      <w:r w:rsidR="00B4720A" w:rsidRPr="002D23CC">
        <w:rPr>
          <w:sz w:val="22"/>
          <w:szCs w:val="22"/>
        </w:rPr>
        <w:t>December 31</w:t>
      </w:r>
      <w:r w:rsidR="00AA1C47" w:rsidRPr="002D23CC">
        <w:rPr>
          <w:sz w:val="22"/>
          <w:szCs w:val="22"/>
        </w:rPr>
        <w:t>, 201</w:t>
      </w:r>
      <w:r w:rsidR="008B14EB">
        <w:rPr>
          <w:sz w:val="22"/>
          <w:szCs w:val="22"/>
        </w:rPr>
        <w:t>8</w:t>
      </w:r>
      <w:r w:rsidR="00AA1C47" w:rsidRPr="002D23CC">
        <w:rPr>
          <w:sz w:val="22"/>
          <w:szCs w:val="22"/>
        </w:rPr>
        <w:t xml:space="preserve"> compared to $</w:t>
      </w:r>
      <w:r w:rsidR="00E24D8D">
        <w:rPr>
          <w:sz w:val="22"/>
          <w:szCs w:val="22"/>
        </w:rPr>
        <w:t>12.7</w:t>
      </w:r>
      <w:r w:rsidR="00AA1C47" w:rsidRPr="002D23CC">
        <w:rPr>
          <w:sz w:val="22"/>
          <w:szCs w:val="22"/>
        </w:rPr>
        <w:t xml:space="preserve"> mil</w:t>
      </w:r>
      <w:r w:rsidR="00AB60A8" w:rsidRPr="002D23CC">
        <w:rPr>
          <w:sz w:val="22"/>
          <w:szCs w:val="22"/>
        </w:rPr>
        <w:t xml:space="preserve">lion for the </w:t>
      </w:r>
      <w:r w:rsidR="00B4720A" w:rsidRPr="002D23CC">
        <w:rPr>
          <w:sz w:val="22"/>
          <w:szCs w:val="22"/>
        </w:rPr>
        <w:t>twelve</w:t>
      </w:r>
      <w:r w:rsidR="00AB60A8" w:rsidRPr="002D23CC">
        <w:rPr>
          <w:sz w:val="22"/>
          <w:szCs w:val="22"/>
        </w:rPr>
        <w:t xml:space="preserve"> months ended</w:t>
      </w:r>
      <w:r w:rsidR="00AA1C47" w:rsidRPr="002D23CC">
        <w:rPr>
          <w:sz w:val="22"/>
          <w:szCs w:val="22"/>
        </w:rPr>
        <w:t xml:space="preserve"> </w:t>
      </w:r>
      <w:r w:rsidR="00B4720A" w:rsidRPr="002D23CC">
        <w:rPr>
          <w:sz w:val="22"/>
          <w:szCs w:val="22"/>
        </w:rPr>
        <w:t>December 31</w:t>
      </w:r>
      <w:r w:rsidR="00AA1C47" w:rsidRPr="002D23CC">
        <w:rPr>
          <w:sz w:val="22"/>
          <w:szCs w:val="22"/>
        </w:rPr>
        <w:t>, 201</w:t>
      </w:r>
      <w:r w:rsidR="008B14EB">
        <w:rPr>
          <w:sz w:val="22"/>
          <w:szCs w:val="22"/>
        </w:rPr>
        <w:t>7</w:t>
      </w:r>
      <w:r w:rsidR="00AA1C47" w:rsidRPr="002D23CC">
        <w:rPr>
          <w:sz w:val="22"/>
          <w:szCs w:val="22"/>
        </w:rPr>
        <w:t xml:space="preserve">.  </w:t>
      </w:r>
      <w:proofErr w:type="spellStart"/>
      <w:proofErr w:type="gramStart"/>
      <w:r>
        <w:rPr>
          <w:sz w:val="22"/>
          <w:szCs w:val="22"/>
        </w:rPr>
        <w:t xml:space="preserve">Non </w:t>
      </w:r>
      <w:r w:rsidR="001840CE" w:rsidRPr="002D23CC">
        <w:rPr>
          <w:sz w:val="22"/>
          <w:szCs w:val="22"/>
        </w:rPr>
        <w:t>interest</w:t>
      </w:r>
      <w:proofErr w:type="spellEnd"/>
      <w:proofErr w:type="gramEnd"/>
      <w:r w:rsidR="001840CE" w:rsidRPr="002D23CC">
        <w:rPr>
          <w:sz w:val="22"/>
          <w:szCs w:val="22"/>
        </w:rPr>
        <w:t xml:space="preserve"> expense </w:t>
      </w:r>
      <w:r w:rsidR="008B14EB">
        <w:rPr>
          <w:sz w:val="22"/>
          <w:szCs w:val="22"/>
        </w:rPr>
        <w:t>has increased</w:t>
      </w:r>
      <w:r w:rsidR="007E0C8A" w:rsidRPr="002D23CC">
        <w:rPr>
          <w:sz w:val="22"/>
          <w:szCs w:val="22"/>
        </w:rPr>
        <w:t xml:space="preserve"> as </w:t>
      </w:r>
      <w:r w:rsidR="001972A4" w:rsidRPr="002D23CC">
        <w:rPr>
          <w:sz w:val="22"/>
          <w:szCs w:val="22"/>
        </w:rPr>
        <w:t>Aquesta</w:t>
      </w:r>
      <w:r w:rsidR="001840CE" w:rsidRPr="002D23CC">
        <w:rPr>
          <w:sz w:val="22"/>
          <w:szCs w:val="22"/>
        </w:rPr>
        <w:t xml:space="preserve"> continues to expand.  </w:t>
      </w:r>
      <w:r w:rsidR="00AB60A8" w:rsidRPr="002D23CC">
        <w:rPr>
          <w:sz w:val="22"/>
          <w:szCs w:val="22"/>
        </w:rPr>
        <w:t>Personnel expense was at $</w:t>
      </w:r>
      <w:r w:rsidR="008B14EB">
        <w:rPr>
          <w:sz w:val="22"/>
          <w:szCs w:val="22"/>
        </w:rPr>
        <w:t>9.1</w:t>
      </w:r>
      <w:r w:rsidR="00AB60A8" w:rsidRPr="002D23CC">
        <w:rPr>
          <w:sz w:val="22"/>
          <w:szCs w:val="22"/>
        </w:rPr>
        <w:t xml:space="preserve"> million </w:t>
      </w:r>
      <w:r w:rsidR="00E33102" w:rsidRPr="002D23CC">
        <w:rPr>
          <w:sz w:val="22"/>
          <w:szCs w:val="22"/>
        </w:rPr>
        <w:t xml:space="preserve">for the </w:t>
      </w:r>
      <w:r w:rsidR="00B4720A" w:rsidRPr="002D23CC">
        <w:rPr>
          <w:sz w:val="22"/>
          <w:szCs w:val="22"/>
        </w:rPr>
        <w:t>twelve</w:t>
      </w:r>
      <w:r w:rsidR="00E33102" w:rsidRPr="002D23CC">
        <w:rPr>
          <w:sz w:val="22"/>
          <w:szCs w:val="22"/>
        </w:rPr>
        <w:t xml:space="preserve"> months ended </w:t>
      </w:r>
      <w:r w:rsidR="00B4720A" w:rsidRPr="002D23CC">
        <w:rPr>
          <w:sz w:val="22"/>
          <w:szCs w:val="22"/>
        </w:rPr>
        <w:t>December 31</w:t>
      </w:r>
      <w:r w:rsidR="00E77195" w:rsidRPr="002D23CC">
        <w:rPr>
          <w:sz w:val="22"/>
          <w:szCs w:val="22"/>
        </w:rPr>
        <w:t>, 201</w:t>
      </w:r>
      <w:r w:rsidR="008B14EB">
        <w:rPr>
          <w:sz w:val="22"/>
          <w:szCs w:val="22"/>
        </w:rPr>
        <w:t>8</w:t>
      </w:r>
      <w:r w:rsidR="00AB60A8" w:rsidRPr="002D23CC">
        <w:rPr>
          <w:sz w:val="22"/>
          <w:szCs w:val="22"/>
        </w:rPr>
        <w:t xml:space="preserve"> compared to $</w:t>
      </w:r>
      <w:r w:rsidR="008B14EB">
        <w:rPr>
          <w:sz w:val="22"/>
          <w:szCs w:val="22"/>
        </w:rPr>
        <w:t>8.0</w:t>
      </w:r>
      <w:r w:rsidR="00AB60A8" w:rsidRPr="002D23CC">
        <w:rPr>
          <w:sz w:val="22"/>
          <w:szCs w:val="22"/>
        </w:rPr>
        <w:t xml:space="preserve"> million </w:t>
      </w:r>
      <w:r w:rsidR="00E33102" w:rsidRPr="002D23CC">
        <w:rPr>
          <w:sz w:val="22"/>
          <w:szCs w:val="22"/>
        </w:rPr>
        <w:t xml:space="preserve">for the </w:t>
      </w:r>
      <w:r w:rsidR="00B4720A" w:rsidRPr="002D23CC">
        <w:rPr>
          <w:sz w:val="22"/>
          <w:szCs w:val="22"/>
        </w:rPr>
        <w:t>twelve</w:t>
      </w:r>
      <w:r w:rsidR="00E33102" w:rsidRPr="002D23CC">
        <w:rPr>
          <w:sz w:val="22"/>
          <w:szCs w:val="22"/>
        </w:rPr>
        <w:t xml:space="preserve"> months ended </w:t>
      </w:r>
      <w:r w:rsidR="00B4720A" w:rsidRPr="002D23CC">
        <w:rPr>
          <w:sz w:val="22"/>
          <w:szCs w:val="22"/>
        </w:rPr>
        <w:t>December 31</w:t>
      </w:r>
      <w:r w:rsidR="00E77195" w:rsidRPr="002D23CC">
        <w:rPr>
          <w:sz w:val="22"/>
          <w:szCs w:val="22"/>
        </w:rPr>
        <w:t>, 201</w:t>
      </w:r>
      <w:r w:rsidR="008B14EB">
        <w:rPr>
          <w:sz w:val="22"/>
          <w:szCs w:val="22"/>
        </w:rPr>
        <w:t>7</w:t>
      </w:r>
      <w:r w:rsidR="00E77195" w:rsidRPr="002D23CC">
        <w:rPr>
          <w:sz w:val="22"/>
          <w:szCs w:val="22"/>
        </w:rPr>
        <w:t>.</w:t>
      </w:r>
    </w:p>
    <w:p w14:paraId="1B82FABA" w14:textId="77777777" w:rsidR="00AB60A8" w:rsidRPr="002D23CC" w:rsidRDefault="00AB60A8" w:rsidP="00C87248">
      <w:pPr>
        <w:rPr>
          <w:sz w:val="22"/>
          <w:szCs w:val="22"/>
        </w:rPr>
      </w:pPr>
    </w:p>
    <w:p w14:paraId="0AD96221" w14:textId="77777777" w:rsidR="00AB60A8" w:rsidRPr="002D23CC" w:rsidRDefault="00AB60A8" w:rsidP="00C87248">
      <w:pPr>
        <w:rPr>
          <w:sz w:val="22"/>
          <w:szCs w:val="22"/>
        </w:rPr>
      </w:pPr>
      <w:r w:rsidRPr="002D23CC">
        <w:rPr>
          <w:sz w:val="22"/>
          <w:szCs w:val="22"/>
        </w:rPr>
        <w:t>O</w:t>
      </w:r>
      <w:r w:rsidR="005F2D65" w:rsidRPr="002D23CC">
        <w:rPr>
          <w:sz w:val="22"/>
          <w:szCs w:val="22"/>
        </w:rPr>
        <w:t>c</w:t>
      </w:r>
      <w:r w:rsidR="003951CD" w:rsidRPr="002D23CC">
        <w:rPr>
          <w:sz w:val="22"/>
          <w:szCs w:val="22"/>
        </w:rPr>
        <w:t xml:space="preserve">cupancy expense </w:t>
      </w:r>
      <w:r w:rsidR="007E0C8A" w:rsidRPr="002D23CC">
        <w:rPr>
          <w:sz w:val="22"/>
          <w:szCs w:val="22"/>
        </w:rPr>
        <w:t>decreased by $</w:t>
      </w:r>
      <w:r w:rsidR="008B14EB">
        <w:rPr>
          <w:sz w:val="22"/>
          <w:szCs w:val="22"/>
        </w:rPr>
        <w:t>42</w:t>
      </w:r>
      <w:r w:rsidRPr="002D23CC">
        <w:rPr>
          <w:sz w:val="22"/>
          <w:szCs w:val="22"/>
        </w:rPr>
        <w:t xml:space="preserve"> thousand for the </w:t>
      </w:r>
      <w:r w:rsidR="00B4720A" w:rsidRPr="002D23CC">
        <w:rPr>
          <w:sz w:val="22"/>
          <w:szCs w:val="22"/>
        </w:rPr>
        <w:t>twelve</w:t>
      </w:r>
      <w:r w:rsidRPr="002D23CC">
        <w:rPr>
          <w:sz w:val="22"/>
          <w:szCs w:val="22"/>
        </w:rPr>
        <w:t xml:space="preserve"> months ended </w:t>
      </w:r>
      <w:r w:rsidR="00B4720A" w:rsidRPr="002D23CC">
        <w:rPr>
          <w:sz w:val="22"/>
          <w:szCs w:val="22"/>
        </w:rPr>
        <w:t>December 31</w:t>
      </w:r>
      <w:r w:rsidRPr="002D23CC">
        <w:rPr>
          <w:sz w:val="22"/>
          <w:szCs w:val="22"/>
        </w:rPr>
        <w:t>, 201</w:t>
      </w:r>
      <w:r w:rsidR="008B14EB">
        <w:rPr>
          <w:sz w:val="22"/>
          <w:szCs w:val="22"/>
        </w:rPr>
        <w:t>8</w:t>
      </w:r>
      <w:r w:rsidRPr="002D23CC">
        <w:rPr>
          <w:sz w:val="22"/>
          <w:szCs w:val="22"/>
        </w:rPr>
        <w:t xml:space="preserve"> compared to the</w:t>
      </w:r>
      <w:r w:rsidR="00B4720A" w:rsidRPr="002D23CC">
        <w:rPr>
          <w:sz w:val="22"/>
          <w:szCs w:val="22"/>
        </w:rPr>
        <w:t xml:space="preserve"> twelve</w:t>
      </w:r>
      <w:r w:rsidRPr="002D23CC">
        <w:rPr>
          <w:sz w:val="22"/>
          <w:szCs w:val="22"/>
        </w:rPr>
        <w:t xml:space="preserve"> months ending </w:t>
      </w:r>
      <w:r w:rsidR="00B4720A" w:rsidRPr="002D23CC">
        <w:rPr>
          <w:sz w:val="22"/>
          <w:szCs w:val="22"/>
        </w:rPr>
        <w:t>December 31</w:t>
      </w:r>
      <w:r w:rsidRPr="002D23CC">
        <w:rPr>
          <w:sz w:val="22"/>
          <w:szCs w:val="22"/>
        </w:rPr>
        <w:t>, 201</w:t>
      </w:r>
      <w:r w:rsidR="008B14EB">
        <w:rPr>
          <w:sz w:val="22"/>
          <w:szCs w:val="22"/>
        </w:rPr>
        <w:t>7</w:t>
      </w:r>
      <w:r w:rsidRPr="002D23CC">
        <w:rPr>
          <w:sz w:val="22"/>
          <w:szCs w:val="22"/>
        </w:rPr>
        <w:t xml:space="preserve">.  </w:t>
      </w:r>
      <w:r w:rsidR="005F2D65" w:rsidRPr="002D23CC">
        <w:rPr>
          <w:sz w:val="22"/>
          <w:szCs w:val="22"/>
        </w:rPr>
        <w:t xml:space="preserve">The decrease in occupancy expense was due to the </w:t>
      </w:r>
      <w:r w:rsidR="008B14EB">
        <w:rPr>
          <w:sz w:val="22"/>
          <w:szCs w:val="22"/>
        </w:rPr>
        <w:t xml:space="preserve">rental income from the insurance offices in Cornelius and Wilmington.  </w:t>
      </w:r>
      <w:r w:rsidRPr="002D23CC">
        <w:rPr>
          <w:sz w:val="22"/>
          <w:szCs w:val="22"/>
        </w:rPr>
        <w:t xml:space="preserve">Aquesta had </w:t>
      </w:r>
      <w:r w:rsidR="003951CD" w:rsidRPr="002D23CC">
        <w:rPr>
          <w:sz w:val="22"/>
          <w:szCs w:val="22"/>
        </w:rPr>
        <w:t>$</w:t>
      </w:r>
      <w:r w:rsidR="008B14EB">
        <w:rPr>
          <w:sz w:val="22"/>
          <w:szCs w:val="22"/>
        </w:rPr>
        <w:t>49</w:t>
      </w:r>
      <w:r w:rsidR="00A677DF" w:rsidRPr="002D23CC">
        <w:rPr>
          <w:sz w:val="22"/>
          <w:szCs w:val="22"/>
        </w:rPr>
        <w:t xml:space="preserve"> thousand in </w:t>
      </w:r>
      <w:r w:rsidR="008B670B">
        <w:rPr>
          <w:sz w:val="22"/>
          <w:szCs w:val="22"/>
        </w:rPr>
        <w:t>foreclosed property</w:t>
      </w:r>
      <w:r w:rsidR="003951CD" w:rsidRPr="002D23CC">
        <w:rPr>
          <w:sz w:val="22"/>
          <w:szCs w:val="22"/>
        </w:rPr>
        <w:t xml:space="preserve"> losses for </w:t>
      </w:r>
      <w:r w:rsidR="00B4720A" w:rsidRPr="002D23CC">
        <w:rPr>
          <w:sz w:val="22"/>
          <w:szCs w:val="22"/>
        </w:rPr>
        <w:t>the twelve</w:t>
      </w:r>
      <w:r w:rsidRPr="002D23CC">
        <w:rPr>
          <w:sz w:val="22"/>
          <w:szCs w:val="22"/>
        </w:rPr>
        <w:t xml:space="preserve"> months ended </w:t>
      </w:r>
      <w:r w:rsidR="00B4720A" w:rsidRPr="002D23CC">
        <w:rPr>
          <w:sz w:val="22"/>
          <w:szCs w:val="22"/>
        </w:rPr>
        <w:t>December 31, 201</w:t>
      </w:r>
      <w:r w:rsidR="008B14EB">
        <w:rPr>
          <w:sz w:val="22"/>
          <w:szCs w:val="22"/>
        </w:rPr>
        <w:t>8</w:t>
      </w:r>
      <w:r w:rsidR="00B4720A" w:rsidRPr="002D23CC">
        <w:rPr>
          <w:sz w:val="22"/>
          <w:szCs w:val="22"/>
        </w:rPr>
        <w:t xml:space="preserve"> as compared to $</w:t>
      </w:r>
      <w:r w:rsidR="008B14EB">
        <w:rPr>
          <w:sz w:val="22"/>
          <w:szCs w:val="22"/>
        </w:rPr>
        <w:t>82</w:t>
      </w:r>
      <w:r w:rsidRPr="002D23CC">
        <w:rPr>
          <w:sz w:val="22"/>
          <w:szCs w:val="22"/>
        </w:rPr>
        <w:t xml:space="preserve"> thousand for the </w:t>
      </w:r>
      <w:r w:rsidR="000F3AD4" w:rsidRPr="002D23CC">
        <w:rPr>
          <w:sz w:val="22"/>
          <w:szCs w:val="22"/>
        </w:rPr>
        <w:t>twelve</w:t>
      </w:r>
      <w:r w:rsidR="003951CD" w:rsidRPr="002D23CC">
        <w:rPr>
          <w:sz w:val="22"/>
          <w:szCs w:val="22"/>
        </w:rPr>
        <w:t xml:space="preserve"> months ending </w:t>
      </w:r>
      <w:r w:rsidR="00B4720A" w:rsidRPr="002D23CC">
        <w:rPr>
          <w:sz w:val="22"/>
          <w:szCs w:val="22"/>
        </w:rPr>
        <w:t>December 31</w:t>
      </w:r>
      <w:r w:rsidR="000155C0">
        <w:rPr>
          <w:sz w:val="22"/>
          <w:szCs w:val="22"/>
        </w:rPr>
        <w:t>, 2017</w:t>
      </w:r>
      <w:r w:rsidRPr="002D23CC">
        <w:rPr>
          <w:sz w:val="22"/>
          <w:szCs w:val="22"/>
        </w:rPr>
        <w:t xml:space="preserve">. </w:t>
      </w:r>
    </w:p>
    <w:p w14:paraId="50963413" w14:textId="77777777" w:rsidR="00AB60A8" w:rsidRPr="002D23CC" w:rsidRDefault="00AB60A8" w:rsidP="00C87248">
      <w:pPr>
        <w:rPr>
          <w:i/>
          <w:sz w:val="22"/>
          <w:szCs w:val="22"/>
        </w:rPr>
      </w:pPr>
    </w:p>
    <w:p w14:paraId="2D589D90" w14:textId="77777777" w:rsidR="00771420" w:rsidRDefault="00725B1B" w:rsidP="00C87248">
      <w:pPr>
        <w:rPr>
          <w:sz w:val="22"/>
          <w:szCs w:val="22"/>
        </w:rPr>
      </w:pPr>
      <w:r w:rsidRPr="002D23CC">
        <w:rPr>
          <w:sz w:val="22"/>
          <w:szCs w:val="22"/>
        </w:rPr>
        <w:t>Below are the following financial highlights for comparison:</w:t>
      </w:r>
      <w:bookmarkStart w:id="1" w:name="_MON_1608991915"/>
      <w:bookmarkEnd w:id="1"/>
    </w:p>
    <w:bookmarkStart w:id="2" w:name="_MON_1578058697"/>
    <w:bookmarkEnd w:id="2"/>
    <w:p w14:paraId="3BA15CED" w14:textId="67077D51" w:rsidR="001972A4" w:rsidRDefault="00E24D8D" w:rsidP="00C87248">
      <w:r>
        <w:object w:dxaOrig="7311" w:dyaOrig="6701" w14:anchorId="7E1D0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35pt" o:ole="">
            <v:imagedata r:id="rId6" o:title=""/>
          </v:shape>
          <o:OLEObject Type="Embed" ProgID="Excel.Sheet.12" ShapeID="_x0000_i1025" DrawAspect="Content" ObjectID="_1609155645" r:id="rId7"/>
        </w:object>
      </w:r>
    </w:p>
    <w:p w14:paraId="3876D21B" w14:textId="77777777" w:rsidR="007E0C8A" w:rsidRDefault="007E0C8A" w:rsidP="00C87248"/>
    <w:p w14:paraId="5690D363" w14:textId="583005CB" w:rsidR="00133536" w:rsidRDefault="00133536" w:rsidP="00C87248">
      <w:bookmarkStart w:id="3" w:name="_MON_1578058861"/>
      <w:bookmarkEnd w:id="3"/>
    </w:p>
    <w:bookmarkStart w:id="4" w:name="_MON_1608992011"/>
    <w:bookmarkStart w:id="5" w:name="_MON_1569835377"/>
    <w:bookmarkEnd w:id="4"/>
    <w:bookmarkEnd w:id="5"/>
    <w:bookmarkStart w:id="6" w:name="_MON_1569760433"/>
    <w:bookmarkEnd w:id="6"/>
    <w:p w14:paraId="0D0A6EDC" w14:textId="7D9E9E5A" w:rsidR="0045091D" w:rsidRPr="00C87248" w:rsidRDefault="00E24D8D" w:rsidP="0045091D">
      <w:r>
        <w:object w:dxaOrig="11435" w:dyaOrig="14291" w14:anchorId="79A3B6EA">
          <v:shape id="_x0000_i1026" type="#_x0000_t75" style="width:521pt;height:714pt" o:ole="">
            <v:imagedata r:id="rId8" o:title=""/>
          </v:shape>
          <o:OLEObject Type="Embed" ProgID="Excel.Sheet.12" ShapeID="_x0000_i1026" DrawAspect="Content" ObjectID="_1609155646" r:id="rId9"/>
        </w:object>
      </w:r>
      <w:r w:rsidR="00495E70">
        <w:tab/>
      </w:r>
    </w:p>
    <w:p w14:paraId="644BA4FE" w14:textId="77777777" w:rsidR="007323D2" w:rsidRDefault="007323D2" w:rsidP="00C71093">
      <w:pPr>
        <w:rPr>
          <w:sz w:val="20"/>
          <w:szCs w:val="20"/>
        </w:rPr>
      </w:pPr>
    </w:p>
    <w:p w14:paraId="45059185" w14:textId="77777777" w:rsidR="007323D2" w:rsidRDefault="007323D2" w:rsidP="00C71093">
      <w:pPr>
        <w:rPr>
          <w:sz w:val="20"/>
          <w:szCs w:val="20"/>
        </w:rPr>
      </w:pPr>
    </w:p>
    <w:p w14:paraId="01AC6EB7" w14:textId="77777777" w:rsidR="007323D2" w:rsidRDefault="007323D2" w:rsidP="00C71093">
      <w:pPr>
        <w:rPr>
          <w:sz w:val="20"/>
          <w:szCs w:val="20"/>
        </w:rPr>
      </w:pPr>
    </w:p>
    <w:p w14:paraId="4F201C53" w14:textId="77777777" w:rsidR="0072639A" w:rsidRDefault="00C71093" w:rsidP="00916159">
      <w:pPr>
        <w:spacing w:before="100" w:beforeAutospacing="1" w:after="100" w:afterAutospacing="1"/>
        <w:rPr>
          <w:sz w:val="20"/>
          <w:szCs w:val="20"/>
        </w:rPr>
      </w:pPr>
      <w:r w:rsidRPr="00DF1E5C">
        <w:rPr>
          <w:sz w:val="20"/>
          <w:szCs w:val="20"/>
        </w:rPr>
        <w:t xml:space="preserve"> </w:t>
      </w:r>
    </w:p>
    <w:p w14:paraId="1DEB7EB0" w14:textId="77777777" w:rsidR="007323D2" w:rsidRPr="00136A72" w:rsidRDefault="007323D2" w:rsidP="007323D2">
      <w:pPr>
        <w:tabs>
          <w:tab w:val="left" w:pos="3150"/>
        </w:tabs>
      </w:pPr>
      <w:r w:rsidRPr="001819E8">
        <w:rPr>
          <w:sz w:val="22"/>
          <w:szCs w:val="22"/>
        </w:rPr>
        <w:t>Aquesta Financial Holdings, Inc. is the holding company to its wholly owned subsidiary, Aquesta Bank.  Aquesta Bank is a full-service community bank headquartered in Cornelius, North Carolina with seven branches in the Charlotte, Lake Norman and Wilmington areas and loan production offices Greenville</w:t>
      </w:r>
      <w:r>
        <w:rPr>
          <w:sz w:val="22"/>
          <w:szCs w:val="22"/>
        </w:rPr>
        <w:t>, Raleigh,</w:t>
      </w:r>
      <w:r w:rsidRPr="001819E8">
        <w:rPr>
          <w:sz w:val="22"/>
          <w:szCs w:val="22"/>
        </w:rPr>
        <w:t xml:space="preserve"> and Charleston, South Carolina.    </w:t>
      </w:r>
    </w:p>
    <w:p w14:paraId="6E67EAF2" w14:textId="77777777" w:rsidR="007323D2" w:rsidRPr="001819E8" w:rsidRDefault="007323D2" w:rsidP="007323D2">
      <w:pPr>
        <w:rPr>
          <w:sz w:val="22"/>
          <w:szCs w:val="22"/>
        </w:rPr>
      </w:pPr>
    </w:p>
    <w:p w14:paraId="23AD2AEB" w14:textId="77777777" w:rsidR="007323D2" w:rsidRPr="001819E8" w:rsidRDefault="007323D2" w:rsidP="007323D2">
      <w:pPr>
        <w:rPr>
          <w:sz w:val="22"/>
          <w:szCs w:val="22"/>
        </w:rPr>
      </w:pPr>
      <w:r w:rsidRPr="001819E8">
        <w:rPr>
          <w:sz w:val="22"/>
          <w:szCs w:val="22"/>
        </w:rPr>
        <w:t>For additional information, please contact Kristin Couch (Executive Vice President and Chief Financial Officer) at 704-439-4343 or visit us online at www.aquesta.com.</w:t>
      </w:r>
    </w:p>
    <w:p w14:paraId="45544D84" w14:textId="77777777" w:rsidR="007323D2" w:rsidRPr="001819E8" w:rsidRDefault="007323D2" w:rsidP="007323D2">
      <w:pPr>
        <w:spacing w:before="100" w:beforeAutospacing="1" w:after="100" w:afterAutospacing="1"/>
        <w:rPr>
          <w:sz w:val="22"/>
          <w:szCs w:val="22"/>
        </w:rPr>
      </w:pPr>
      <w:bookmarkStart w:id="7" w:name="_MON_1404292519"/>
      <w:bookmarkStart w:id="8" w:name="_MON_1404283219"/>
      <w:bookmarkStart w:id="9" w:name="_MON_1404284173"/>
      <w:bookmarkStart w:id="10" w:name="_MON_1404284177"/>
      <w:bookmarkStart w:id="11" w:name="_MON_1404284358"/>
      <w:bookmarkStart w:id="12" w:name="_MON_1404288608"/>
      <w:bookmarkStart w:id="13" w:name="_MON_1404291020"/>
      <w:bookmarkStart w:id="14" w:name="_MON_1404291138"/>
      <w:bookmarkStart w:id="15" w:name="_MON_1404291261"/>
      <w:bookmarkEnd w:id="7"/>
      <w:bookmarkEnd w:id="8"/>
      <w:bookmarkEnd w:id="9"/>
      <w:bookmarkEnd w:id="10"/>
      <w:bookmarkEnd w:id="11"/>
      <w:bookmarkEnd w:id="12"/>
      <w:bookmarkEnd w:id="13"/>
      <w:bookmarkEnd w:id="14"/>
      <w:bookmarkEnd w:id="15"/>
      <w:r w:rsidRPr="001819E8">
        <w:rPr>
          <w:rFonts w:ascii="Verdana" w:hAnsi="Verdana"/>
          <w:i/>
          <w:sz w:val="20"/>
          <w:szCs w:val="20"/>
        </w:rPr>
        <w:t>Information in this press release may contain forward looking statements that might involve risks and uncertainties that could cause actual results to differ materially.  These risks and uncertainties include without limitation, the effects of future economic conditions, governmental fiscal and monetary policies, legislative and regulatory changes, and changes in interest rates</w:t>
      </w:r>
      <w:r w:rsidRPr="001819E8">
        <w:rPr>
          <w:rFonts w:ascii="Verdana" w:hAnsi="Verdana"/>
          <w:i/>
          <w:sz w:val="22"/>
          <w:szCs w:val="22"/>
        </w:rPr>
        <w:t>.</w:t>
      </w:r>
      <w:r w:rsidRPr="001819E8">
        <w:rPr>
          <w:sz w:val="22"/>
          <w:szCs w:val="22"/>
        </w:rPr>
        <w:t xml:space="preserve"> </w:t>
      </w:r>
    </w:p>
    <w:p w14:paraId="4E2E9A1E" w14:textId="77777777" w:rsidR="007323D2" w:rsidRPr="00916159" w:rsidRDefault="007323D2" w:rsidP="00916159">
      <w:pPr>
        <w:spacing w:before="100" w:beforeAutospacing="1" w:after="100" w:afterAutospacing="1"/>
        <w:rPr>
          <w:sz w:val="20"/>
          <w:szCs w:val="20"/>
        </w:rPr>
      </w:pPr>
    </w:p>
    <w:sectPr w:rsidR="007323D2" w:rsidRPr="00916159" w:rsidSect="003B095A">
      <w:pgSz w:w="12240" w:h="15840"/>
      <w:pgMar w:top="288" w:right="1296"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A3660"/>
    <w:multiLevelType w:val="hybridMultilevel"/>
    <w:tmpl w:val="7B0A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57830"/>
    <w:multiLevelType w:val="hybridMultilevel"/>
    <w:tmpl w:val="7234CB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A7B09CF"/>
    <w:multiLevelType w:val="hybridMultilevel"/>
    <w:tmpl w:val="E660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55"/>
    <w:rsid w:val="00007F3C"/>
    <w:rsid w:val="000155C0"/>
    <w:rsid w:val="00026586"/>
    <w:rsid w:val="000270A1"/>
    <w:rsid w:val="000317F5"/>
    <w:rsid w:val="00032D3E"/>
    <w:rsid w:val="00033181"/>
    <w:rsid w:val="0003495A"/>
    <w:rsid w:val="000501F3"/>
    <w:rsid w:val="000507B2"/>
    <w:rsid w:val="00051BA4"/>
    <w:rsid w:val="00052A02"/>
    <w:rsid w:val="00052F71"/>
    <w:rsid w:val="0006275C"/>
    <w:rsid w:val="00064497"/>
    <w:rsid w:val="00072501"/>
    <w:rsid w:val="000835F1"/>
    <w:rsid w:val="000944A1"/>
    <w:rsid w:val="000C5A5F"/>
    <w:rsid w:val="000D1142"/>
    <w:rsid w:val="000E1131"/>
    <w:rsid w:val="000E495F"/>
    <w:rsid w:val="000E7475"/>
    <w:rsid w:val="000E770F"/>
    <w:rsid w:val="000F102C"/>
    <w:rsid w:val="000F3AD4"/>
    <w:rsid w:val="000F4A4F"/>
    <w:rsid w:val="0012683B"/>
    <w:rsid w:val="00132549"/>
    <w:rsid w:val="00133536"/>
    <w:rsid w:val="00134717"/>
    <w:rsid w:val="00151CB0"/>
    <w:rsid w:val="001561F2"/>
    <w:rsid w:val="0016789B"/>
    <w:rsid w:val="00171108"/>
    <w:rsid w:val="0017315E"/>
    <w:rsid w:val="001840CE"/>
    <w:rsid w:val="00187475"/>
    <w:rsid w:val="0019141D"/>
    <w:rsid w:val="00193ACE"/>
    <w:rsid w:val="001972A4"/>
    <w:rsid w:val="001A0B52"/>
    <w:rsid w:val="001A64AA"/>
    <w:rsid w:val="001B02A2"/>
    <w:rsid w:val="001B2A4C"/>
    <w:rsid w:val="001B3A1F"/>
    <w:rsid w:val="001C3424"/>
    <w:rsid w:val="001C3A45"/>
    <w:rsid w:val="001D63F9"/>
    <w:rsid w:val="001E13F8"/>
    <w:rsid w:val="001E237C"/>
    <w:rsid w:val="001E32A8"/>
    <w:rsid w:val="001E4A86"/>
    <w:rsid w:val="001E4E19"/>
    <w:rsid w:val="00201217"/>
    <w:rsid w:val="00205294"/>
    <w:rsid w:val="00217F32"/>
    <w:rsid w:val="0023092F"/>
    <w:rsid w:val="00231FC3"/>
    <w:rsid w:val="00245F8B"/>
    <w:rsid w:val="00256093"/>
    <w:rsid w:val="00264374"/>
    <w:rsid w:val="0026538E"/>
    <w:rsid w:val="00284381"/>
    <w:rsid w:val="00287AB1"/>
    <w:rsid w:val="00287DC6"/>
    <w:rsid w:val="002955C5"/>
    <w:rsid w:val="002A1830"/>
    <w:rsid w:val="002B3887"/>
    <w:rsid w:val="002C6A4E"/>
    <w:rsid w:val="002D18E7"/>
    <w:rsid w:val="002D23CC"/>
    <w:rsid w:val="002D3ABC"/>
    <w:rsid w:val="002E0299"/>
    <w:rsid w:val="002E1926"/>
    <w:rsid w:val="002F3DA5"/>
    <w:rsid w:val="002F5192"/>
    <w:rsid w:val="00326D1F"/>
    <w:rsid w:val="00331DD7"/>
    <w:rsid w:val="00331F4F"/>
    <w:rsid w:val="00333984"/>
    <w:rsid w:val="00337326"/>
    <w:rsid w:val="00343086"/>
    <w:rsid w:val="0038741B"/>
    <w:rsid w:val="003951CD"/>
    <w:rsid w:val="003A297E"/>
    <w:rsid w:val="003A2C5E"/>
    <w:rsid w:val="003A7E46"/>
    <w:rsid w:val="003B095A"/>
    <w:rsid w:val="003C59A2"/>
    <w:rsid w:val="003E3C68"/>
    <w:rsid w:val="003F3AB8"/>
    <w:rsid w:val="00400A24"/>
    <w:rsid w:val="00401647"/>
    <w:rsid w:val="004019AD"/>
    <w:rsid w:val="00404517"/>
    <w:rsid w:val="0040648A"/>
    <w:rsid w:val="00407D58"/>
    <w:rsid w:val="0041064D"/>
    <w:rsid w:val="00430CED"/>
    <w:rsid w:val="00432D61"/>
    <w:rsid w:val="004433BD"/>
    <w:rsid w:val="0045091D"/>
    <w:rsid w:val="004576B8"/>
    <w:rsid w:val="004601C4"/>
    <w:rsid w:val="00483F39"/>
    <w:rsid w:val="00493725"/>
    <w:rsid w:val="00493803"/>
    <w:rsid w:val="00495E70"/>
    <w:rsid w:val="004A3DDB"/>
    <w:rsid w:val="004A6DB5"/>
    <w:rsid w:val="004B0C93"/>
    <w:rsid w:val="004B3555"/>
    <w:rsid w:val="004B3A87"/>
    <w:rsid w:val="004B65C5"/>
    <w:rsid w:val="004C3A8A"/>
    <w:rsid w:val="004E1496"/>
    <w:rsid w:val="004E45A4"/>
    <w:rsid w:val="004F75A7"/>
    <w:rsid w:val="00501F67"/>
    <w:rsid w:val="005056D4"/>
    <w:rsid w:val="00505F05"/>
    <w:rsid w:val="005100AA"/>
    <w:rsid w:val="00521255"/>
    <w:rsid w:val="00523AEC"/>
    <w:rsid w:val="00531F31"/>
    <w:rsid w:val="00532957"/>
    <w:rsid w:val="00533192"/>
    <w:rsid w:val="0054059E"/>
    <w:rsid w:val="005411BC"/>
    <w:rsid w:val="00541D3D"/>
    <w:rsid w:val="00542D77"/>
    <w:rsid w:val="00550C12"/>
    <w:rsid w:val="0056312B"/>
    <w:rsid w:val="005726AD"/>
    <w:rsid w:val="005777D4"/>
    <w:rsid w:val="00581AAD"/>
    <w:rsid w:val="005B7C02"/>
    <w:rsid w:val="005C4B77"/>
    <w:rsid w:val="005D3EA3"/>
    <w:rsid w:val="005D5563"/>
    <w:rsid w:val="005F271B"/>
    <w:rsid w:val="005F2D65"/>
    <w:rsid w:val="00601921"/>
    <w:rsid w:val="00603ED7"/>
    <w:rsid w:val="00617F69"/>
    <w:rsid w:val="00632431"/>
    <w:rsid w:val="00646A0B"/>
    <w:rsid w:val="0065444D"/>
    <w:rsid w:val="006604F6"/>
    <w:rsid w:val="0066462F"/>
    <w:rsid w:val="006719BD"/>
    <w:rsid w:val="006735C9"/>
    <w:rsid w:val="00673A68"/>
    <w:rsid w:val="00696AD3"/>
    <w:rsid w:val="006E2747"/>
    <w:rsid w:val="006E352F"/>
    <w:rsid w:val="006F1BB2"/>
    <w:rsid w:val="00704C9C"/>
    <w:rsid w:val="007103A9"/>
    <w:rsid w:val="007118C6"/>
    <w:rsid w:val="00721CF1"/>
    <w:rsid w:val="007235C3"/>
    <w:rsid w:val="00725B1B"/>
    <w:rsid w:val="00726251"/>
    <w:rsid w:val="0072639A"/>
    <w:rsid w:val="0073102D"/>
    <w:rsid w:val="00731569"/>
    <w:rsid w:val="007323D2"/>
    <w:rsid w:val="00744A75"/>
    <w:rsid w:val="007469E5"/>
    <w:rsid w:val="00747007"/>
    <w:rsid w:val="00757953"/>
    <w:rsid w:val="00771420"/>
    <w:rsid w:val="00773DCC"/>
    <w:rsid w:val="00794710"/>
    <w:rsid w:val="007A34F8"/>
    <w:rsid w:val="007B6787"/>
    <w:rsid w:val="007C215F"/>
    <w:rsid w:val="007C360A"/>
    <w:rsid w:val="007C6B9E"/>
    <w:rsid w:val="007E09C1"/>
    <w:rsid w:val="007E0C8A"/>
    <w:rsid w:val="007E4DE2"/>
    <w:rsid w:val="007F6512"/>
    <w:rsid w:val="00807CE8"/>
    <w:rsid w:val="008430D0"/>
    <w:rsid w:val="00843BF6"/>
    <w:rsid w:val="00846CF2"/>
    <w:rsid w:val="0085318C"/>
    <w:rsid w:val="00865983"/>
    <w:rsid w:val="008659BE"/>
    <w:rsid w:val="0087569E"/>
    <w:rsid w:val="0088051A"/>
    <w:rsid w:val="008815C2"/>
    <w:rsid w:val="00883DBB"/>
    <w:rsid w:val="00884335"/>
    <w:rsid w:val="008A4CBD"/>
    <w:rsid w:val="008A5874"/>
    <w:rsid w:val="008A6EF5"/>
    <w:rsid w:val="008B14EB"/>
    <w:rsid w:val="008B5C17"/>
    <w:rsid w:val="008B670B"/>
    <w:rsid w:val="008C2A1B"/>
    <w:rsid w:val="008D122C"/>
    <w:rsid w:val="008D6238"/>
    <w:rsid w:val="008E6F29"/>
    <w:rsid w:val="008F519A"/>
    <w:rsid w:val="008F6634"/>
    <w:rsid w:val="008F7640"/>
    <w:rsid w:val="00900D81"/>
    <w:rsid w:val="00916159"/>
    <w:rsid w:val="0092168F"/>
    <w:rsid w:val="00922C0A"/>
    <w:rsid w:val="009407C9"/>
    <w:rsid w:val="0094091A"/>
    <w:rsid w:val="009754B6"/>
    <w:rsid w:val="00976F7B"/>
    <w:rsid w:val="009A03CB"/>
    <w:rsid w:val="009B2D7E"/>
    <w:rsid w:val="009B6C04"/>
    <w:rsid w:val="009C51F9"/>
    <w:rsid w:val="009F3CA5"/>
    <w:rsid w:val="00A00E62"/>
    <w:rsid w:val="00A03807"/>
    <w:rsid w:val="00A2181E"/>
    <w:rsid w:val="00A32B3B"/>
    <w:rsid w:val="00A541B0"/>
    <w:rsid w:val="00A677DF"/>
    <w:rsid w:val="00A704ED"/>
    <w:rsid w:val="00A76CBF"/>
    <w:rsid w:val="00A80EE1"/>
    <w:rsid w:val="00A8101F"/>
    <w:rsid w:val="00A83E3D"/>
    <w:rsid w:val="00A94775"/>
    <w:rsid w:val="00AA1AD6"/>
    <w:rsid w:val="00AA1C47"/>
    <w:rsid w:val="00AB60A8"/>
    <w:rsid w:val="00AC1361"/>
    <w:rsid w:val="00AC40DA"/>
    <w:rsid w:val="00AE0AFF"/>
    <w:rsid w:val="00AF168B"/>
    <w:rsid w:val="00B0261C"/>
    <w:rsid w:val="00B17173"/>
    <w:rsid w:val="00B22BBC"/>
    <w:rsid w:val="00B3702F"/>
    <w:rsid w:val="00B45181"/>
    <w:rsid w:val="00B45E47"/>
    <w:rsid w:val="00B4720A"/>
    <w:rsid w:val="00B6151D"/>
    <w:rsid w:val="00B73AEA"/>
    <w:rsid w:val="00B82654"/>
    <w:rsid w:val="00B8649C"/>
    <w:rsid w:val="00B87B80"/>
    <w:rsid w:val="00B946B5"/>
    <w:rsid w:val="00BA1D12"/>
    <w:rsid w:val="00BE53D2"/>
    <w:rsid w:val="00BF30B9"/>
    <w:rsid w:val="00BF39CB"/>
    <w:rsid w:val="00BF3A63"/>
    <w:rsid w:val="00BF76FB"/>
    <w:rsid w:val="00C113EA"/>
    <w:rsid w:val="00C1144C"/>
    <w:rsid w:val="00C25F06"/>
    <w:rsid w:val="00C43197"/>
    <w:rsid w:val="00C51D2F"/>
    <w:rsid w:val="00C54BA1"/>
    <w:rsid w:val="00C55857"/>
    <w:rsid w:val="00C62334"/>
    <w:rsid w:val="00C664C4"/>
    <w:rsid w:val="00C66A82"/>
    <w:rsid w:val="00C71093"/>
    <w:rsid w:val="00C7267A"/>
    <w:rsid w:val="00C823A5"/>
    <w:rsid w:val="00C8286A"/>
    <w:rsid w:val="00C828A9"/>
    <w:rsid w:val="00C87248"/>
    <w:rsid w:val="00C93391"/>
    <w:rsid w:val="00CA3878"/>
    <w:rsid w:val="00CA3BBD"/>
    <w:rsid w:val="00CA5801"/>
    <w:rsid w:val="00CA74A9"/>
    <w:rsid w:val="00CB4158"/>
    <w:rsid w:val="00CB52D4"/>
    <w:rsid w:val="00CC3F21"/>
    <w:rsid w:val="00CC5836"/>
    <w:rsid w:val="00CF7F1D"/>
    <w:rsid w:val="00D242BA"/>
    <w:rsid w:val="00D271AF"/>
    <w:rsid w:val="00D36E6B"/>
    <w:rsid w:val="00D51AFE"/>
    <w:rsid w:val="00D556C5"/>
    <w:rsid w:val="00D61EEC"/>
    <w:rsid w:val="00D623D6"/>
    <w:rsid w:val="00D65980"/>
    <w:rsid w:val="00D65E39"/>
    <w:rsid w:val="00D72E47"/>
    <w:rsid w:val="00D73BC8"/>
    <w:rsid w:val="00D80226"/>
    <w:rsid w:val="00DC05DC"/>
    <w:rsid w:val="00DD5E3F"/>
    <w:rsid w:val="00DF0EAD"/>
    <w:rsid w:val="00DF1E5C"/>
    <w:rsid w:val="00E10587"/>
    <w:rsid w:val="00E1610F"/>
    <w:rsid w:val="00E16A95"/>
    <w:rsid w:val="00E24D8D"/>
    <w:rsid w:val="00E24FEF"/>
    <w:rsid w:val="00E327FD"/>
    <w:rsid w:val="00E33102"/>
    <w:rsid w:val="00E42F0E"/>
    <w:rsid w:val="00E52362"/>
    <w:rsid w:val="00E77195"/>
    <w:rsid w:val="00E77C4E"/>
    <w:rsid w:val="00E86D42"/>
    <w:rsid w:val="00E91948"/>
    <w:rsid w:val="00EB1EB6"/>
    <w:rsid w:val="00EB4B57"/>
    <w:rsid w:val="00EC3830"/>
    <w:rsid w:val="00EC6E8F"/>
    <w:rsid w:val="00ED4344"/>
    <w:rsid w:val="00EE620A"/>
    <w:rsid w:val="00F10E9C"/>
    <w:rsid w:val="00F12BDB"/>
    <w:rsid w:val="00F177A0"/>
    <w:rsid w:val="00F2118A"/>
    <w:rsid w:val="00F257B2"/>
    <w:rsid w:val="00F30752"/>
    <w:rsid w:val="00F4092B"/>
    <w:rsid w:val="00F40F78"/>
    <w:rsid w:val="00F41E80"/>
    <w:rsid w:val="00F47477"/>
    <w:rsid w:val="00F51C90"/>
    <w:rsid w:val="00F52F1F"/>
    <w:rsid w:val="00F56001"/>
    <w:rsid w:val="00F62E43"/>
    <w:rsid w:val="00F65642"/>
    <w:rsid w:val="00F65C35"/>
    <w:rsid w:val="00F66DBF"/>
    <w:rsid w:val="00F70F22"/>
    <w:rsid w:val="00F80F03"/>
    <w:rsid w:val="00F82643"/>
    <w:rsid w:val="00FA7FC5"/>
    <w:rsid w:val="00FB2E37"/>
    <w:rsid w:val="00FC0C7F"/>
    <w:rsid w:val="00FC5333"/>
    <w:rsid w:val="00FF00A0"/>
    <w:rsid w:val="00FF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9EE041"/>
  <w15:docId w15:val="{CD077246-18CA-4147-9B55-557FAA4B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1255"/>
    <w:rPr>
      <w:color w:val="0000FF"/>
      <w:u w:val="single"/>
    </w:rPr>
  </w:style>
  <w:style w:type="paragraph" w:styleId="BalloonText">
    <w:name w:val="Balloon Text"/>
    <w:basedOn w:val="Normal"/>
    <w:link w:val="BalloonTextChar"/>
    <w:uiPriority w:val="99"/>
    <w:semiHidden/>
    <w:unhideWhenUsed/>
    <w:rsid w:val="00521255"/>
    <w:rPr>
      <w:rFonts w:ascii="Tahoma" w:hAnsi="Tahoma" w:cs="Tahoma"/>
      <w:sz w:val="16"/>
      <w:szCs w:val="16"/>
    </w:rPr>
  </w:style>
  <w:style w:type="character" w:customStyle="1" w:styleId="BalloonTextChar">
    <w:name w:val="Balloon Text Char"/>
    <w:basedOn w:val="DefaultParagraphFont"/>
    <w:link w:val="BalloonText"/>
    <w:uiPriority w:val="99"/>
    <w:semiHidden/>
    <w:rsid w:val="00521255"/>
    <w:rPr>
      <w:rFonts w:ascii="Tahoma" w:eastAsia="Times New Roman" w:hAnsi="Tahoma" w:cs="Tahoma"/>
      <w:sz w:val="16"/>
      <w:szCs w:val="16"/>
    </w:rPr>
  </w:style>
  <w:style w:type="paragraph" w:styleId="ListParagraph">
    <w:name w:val="List Paragraph"/>
    <w:basedOn w:val="Normal"/>
    <w:uiPriority w:val="34"/>
    <w:qFormat/>
    <w:rsid w:val="004E1496"/>
    <w:pPr>
      <w:ind w:left="720"/>
    </w:pPr>
    <w:rPr>
      <w:rFonts w:ascii="Calibri" w:eastAsiaTheme="minorHAnsi" w:hAnsi="Calibri"/>
      <w:sz w:val="22"/>
      <w:szCs w:val="22"/>
    </w:rPr>
  </w:style>
  <w:style w:type="paragraph" w:styleId="IntenseQuote">
    <w:name w:val="Intense Quote"/>
    <w:basedOn w:val="Normal"/>
    <w:next w:val="Normal"/>
    <w:link w:val="IntenseQuoteChar"/>
    <w:uiPriority w:val="30"/>
    <w:qFormat/>
    <w:rsid w:val="005F27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F271B"/>
    <w:rPr>
      <w:rFonts w:ascii="Times New Roman" w:eastAsia="Times New Roman" w:hAnsi="Times New Roman" w:cs="Times New Roman"/>
      <w:b/>
      <w:bCs/>
      <w:i/>
      <w:iCs/>
      <w:color w:val="4F81BD" w:themeColor="accent1"/>
      <w:sz w:val="24"/>
      <w:szCs w:val="24"/>
    </w:rPr>
  </w:style>
  <w:style w:type="character" w:styleId="CommentReference">
    <w:name w:val="annotation reference"/>
    <w:basedOn w:val="DefaultParagraphFont"/>
    <w:uiPriority w:val="99"/>
    <w:semiHidden/>
    <w:unhideWhenUsed/>
    <w:rsid w:val="00AF168B"/>
    <w:rPr>
      <w:sz w:val="16"/>
      <w:szCs w:val="16"/>
    </w:rPr>
  </w:style>
  <w:style w:type="paragraph" w:styleId="CommentText">
    <w:name w:val="annotation text"/>
    <w:basedOn w:val="Normal"/>
    <w:link w:val="CommentTextChar"/>
    <w:uiPriority w:val="99"/>
    <w:semiHidden/>
    <w:unhideWhenUsed/>
    <w:rsid w:val="00AF168B"/>
    <w:rPr>
      <w:sz w:val="20"/>
      <w:szCs w:val="20"/>
    </w:rPr>
  </w:style>
  <w:style w:type="character" w:customStyle="1" w:styleId="CommentTextChar">
    <w:name w:val="Comment Text Char"/>
    <w:basedOn w:val="DefaultParagraphFont"/>
    <w:link w:val="CommentText"/>
    <w:uiPriority w:val="99"/>
    <w:semiHidden/>
    <w:rsid w:val="00AF16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168B"/>
    <w:rPr>
      <w:b/>
      <w:bCs/>
    </w:rPr>
  </w:style>
  <w:style w:type="character" w:customStyle="1" w:styleId="CommentSubjectChar">
    <w:name w:val="Comment Subject Char"/>
    <w:basedOn w:val="CommentTextChar"/>
    <w:link w:val="CommentSubject"/>
    <w:uiPriority w:val="99"/>
    <w:semiHidden/>
    <w:rsid w:val="00AF168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93055">
      <w:bodyDiv w:val="1"/>
      <w:marLeft w:val="0"/>
      <w:marRight w:val="0"/>
      <w:marTop w:val="0"/>
      <w:marBottom w:val="0"/>
      <w:divBdr>
        <w:top w:val="none" w:sz="0" w:space="0" w:color="auto"/>
        <w:left w:val="none" w:sz="0" w:space="0" w:color="auto"/>
        <w:bottom w:val="none" w:sz="0" w:space="0" w:color="auto"/>
        <w:right w:val="none" w:sz="0" w:space="0" w:color="auto"/>
      </w:divBdr>
    </w:div>
    <w:div w:id="12128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lmf</dc:creator>
  <cp:lastModifiedBy>Laura Engel</cp:lastModifiedBy>
  <cp:revision>3</cp:revision>
  <cp:lastPrinted>2019-01-16T18:50:00Z</cp:lastPrinted>
  <dcterms:created xsi:type="dcterms:W3CDTF">2019-01-16T19:33:00Z</dcterms:created>
  <dcterms:modified xsi:type="dcterms:W3CDTF">2019-01-16T19:54:00Z</dcterms:modified>
</cp:coreProperties>
</file>